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D14E" w14:textId="501039EC" w:rsidR="00364BA5" w:rsidRPr="000847E5" w:rsidRDefault="00364BA5" w:rsidP="00086533">
      <w:pPr>
        <w:spacing w:line="276" w:lineRule="auto"/>
        <w:jc w:val="center"/>
        <w:rPr>
          <w:rFonts w:asciiTheme="minorHAnsi" w:hAnsiTheme="minorHAnsi" w:cstheme="minorHAnsi"/>
          <w:b/>
        </w:rPr>
      </w:pPr>
    </w:p>
    <w:p w14:paraId="198AE562" w14:textId="5D452A72" w:rsidR="00C51E3B" w:rsidRDefault="00C51E3B" w:rsidP="00086533">
      <w:pPr>
        <w:spacing w:line="276" w:lineRule="auto"/>
        <w:jc w:val="center"/>
        <w:rPr>
          <w:rFonts w:asciiTheme="minorHAnsi" w:hAnsiTheme="minorHAnsi" w:cstheme="minorHAnsi"/>
          <w:b/>
        </w:rPr>
      </w:pPr>
    </w:p>
    <w:p w14:paraId="417A3BE5" w14:textId="77777777" w:rsidR="00086533" w:rsidRPr="000847E5" w:rsidRDefault="00086533" w:rsidP="00086533">
      <w:pPr>
        <w:spacing w:line="276" w:lineRule="auto"/>
        <w:jc w:val="center"/>
        <w:rPr>
          <w:rFonts w:asciiTheme="minorHAnsi" w:hAnsiTheme="minorHAnsi" w:cstheme="minorHAnsi"/>
          <w:b/>
        </w:rPr>
      </w:pPr>
    </w:p>
    <w:p w14:paraId="606439F2" w14:textId="77777777" w:rsidR="00364BA5" w:rsidRPr="000847E5" w:rsidRDefault="00364BA5" w:rsidP="00086533">
      <w:pPr>
        <w:spacing w:line="276" w:lineRule="auto"/>
        <w:jc w:val="center"/>
        <w:rPr>
          <w:rFonts w:asciiTheme="minorHAnsi" w:hAnsiTheme="minorHAnsi" w:cstheme="minorHAnsi"/>
          <w:b/>
        </w:rPr>
      </w:pPr>
    </w:p>
    <w:p w14:paraId="000FF1C7" w14:textId="77777777" w:rsidR="00364BA5" w:rsidRPr="000847E5" w:rsidRDefault="00FE7A1C" w:rsidP="00086533">
      <w:pPr>
        <w:spacing w:line="276" w:lineRule="auto"/>
        <w:jc w:val="center"/>
        <w:rPr>
          <w:rFonts w:asciiTheme="minorHAnsi" w:hAnsiTheme="minorHAnsi" w:cstheme="minorHAnsi"/>
          <w:b/>
          <w:bCs/>
          <w:smallCaps/>
          <w:sz w:val="32"/>
          <w:szCs w:val="32"/>
        </w:rPr>
      </w:pPr>
      <w:r w:rsidRPr="000847E5">
        <w:rPr>
          <w:rFonts w:asciiTheme="minorHAnsi" w:hAnsiTheme="minorHAnsi" w:cstheme="minorHAnsi"/>
          <w:b/>
          <w:bCs/>
          <w:smallCaps/>
          <w:sz w:val="32"/>
          <w:szCs w:val="32"/>
        </w:rPr>
        <w:t>Consiglio Notarile Distrettuale</w:t>
      </w:r>
    </w:p>
    <w:p w14:paraId="7EBB123E" w14:textId="77777777" w:rsidR="00364BA5" w:rsidRPr="000847E5" w:rsidRDefault="00FE7A1C" w:rsidP="00086533">
      <w:pPr>
        <w:spacing w:line="276" w:lineRule="auto"/>
        <w:jc w:val="center"/>
        <w:rPr>
          <w:rFonts w:asciiTheme="minorHAnsi" w:hAnsiTheme="minorHAnsi" w:cstheme="minorHAnsi"/>
          <w:b/>
          <w:bCs/>
          <w:smallCaps/>
          <w:sz w:val="32"/>
          <w:szCs w:val="32"/>
        </w:rPr>
      </w:pPr>
      <w:r w:rsidRPr="000847E5">
        <w:rPr>
          <w:rFonts w:asciiTheme="minorHAnsi" w:hAnsiTheme="minorHAnsi" w:cstheme="minorHAnsi"/>
          <w:b/>
          <w:bCs/>
          <w:smallCaps/>
          <w:sz w:val="32"/>
          <w:szCs w:val="32"/>
        </w:rPr>
        <w:t>di</w:t>
      </w:r>
    </w:p>
    <w:p w14:paraId="69B7C225" w14:textId="77777777" w:rsidR="00364BA5" w:rsidRPr="000847E5" w:rsidRDefault="00FE7A1C" w:rsidP="00086533">
      <w:pPr>
        <w:spacing w:line="276" w:lineRule="auto"/>
        <w:jc w:val="center"/>
        <w:rPr>
          <w:rFonts w:asciiTheme="minorHAnsi" w:hAnsiTheme="minorHAnsi" w:cstheme="minorHAnsi"/>
          <w:b/>
        </w:rPr>
      </w:pPr>
      <w:r w:rsidRPr="000847E5">
        <w:rPr>
          <w:rFonts w:asciiTheme="minorHAnsi" w:hAnsiTheme="minorHAnsi" w:cstheme="minorHAnsi"/>
          <w:b/>
          <w:bCs/>
          <w:smallCaps/>
          <w:sz w:val="32"/>
          <w:szCs w:val="32"/>
        </w:rPr>
        <w:t>Bolzano</w:t>
      </w:r>
    </w:p>
    <w:p w14:paraId="499FE307" w14:textId="77777777" w:rsidR="00364BA5" w:rsidRPr="000847E5" w:rsidRDefault="00364BA5" w:rsidP="00086533">
      <w:pPr>
        <w:spacing w:line="276" w:lineRule="auto"/>
        <w:jc w:val="both"/>
        <w:rPr>
          <w:rFonts w:asciiTheme="minorHAnsi" w:hAnsiTheme="minorHAnsi" w:cstheme="minorHAnsi"/>
          <w:b/>
        </w:rPr>
      </w:pPr>
    </w:p>
    <w:p w14:paraId="34ABB2F0" w14:textId="77777777" w:rsidR="00364BA5" w:rsidRPr="000847E5" w:rsidRDefault="00364BA5" w:rsidP="00086533">
      <w:pPr>
        <w:spacing w:line="276" w:lineRule="auto"/>
        <w:jc w:val="both"/>
        <w:rPr>
          <w:rFonts w:asciiTheme="minorHAnsi" w:hAnsiTheme="minorHAnsi" w:cstheme="minorHAnsi"/>
          <w:b/>
        </w:rPr>
      </w:pPr>
    </w:p>
    <w:p w14:paraId="39FC8225" w14:textId="77777777" w:rsidR="00364BA5" w:rsidRPr="000847E5" w:rsidRDefault="00364BA5" w:rsidP="00086533">
      <w:pPr>
        <w:spacing w:line="276" w:lineRule="auto"/>
        <w:jc w:val="both"/>
        <w:rPr>
          <w:rFonts w:asciiTheme="minorHAnsi" w:hAnsiTheme="minorHAnsi" w:cstheme="minorHAnsi"/>
          <w:b/>
        </w:rPr>
      </w:pPr>
    </w:p>
    <w:tbl>
      <w:tblPr>
        <w:tblW w:w="0" w:type="auto"/>
        <w:tblInd w:w="-6" w:type="dxa"/>
        <w:tblLayout w:type="fixed"/>
        <w:tblCellMar>
          <w:left w:w="10" w:type="dxa"/>
          <w:right w:w="10" w:type="dxa"/>
        </w:tblCellMar>
        <w:tblLook w:val="0000" w:firstRow="0" w:lastRow="0" w:firstColumn="0" w:lastColumn="0" w:noHBand="0" w:noVBand="0"/>
      </w:tblPr>
      <w:tblGrid>
        <w:gridCol w:w="9650"/>
      </w:tblGrid>
      <w:tr w:rsidR="00364BA5" w:rsidRPr="000847E5" w14:paraId="0F047C78" w14:textId="77777777">
        <w:tc>
          <w:tcPr>
            <w:tcW w:w="9650" w:type="dxa"/>
            <w:tcBorders>
              <w:top w:val="double" w:sz="1" w:space="0" w:color="000000"/>
              <w:left w:val="double" w:sz="1" w:space="0" w:color="000000"/>
              <w:bottom w:val="double" w:sz="1" w:space="0" w:color="000000"/>
              <w:right w:val="double" w:sz="1" w:space="0" w:color="000000"/>
            </w:tcBorders>
            <w:shd w:val="clear" w:color="auto" w:fill="CCFFFF"/>
          </w:tcPr>
          <w:p w14:paraId="2719A0EE" w14:textId="77777777" w:rsidR="00364BA5" w:rsidRPr="000847E5" w:rsidRDefault="00FE7A1C" w:rsidP="00086533">
            <w:pPr>
              <w:spacing w:line="276" w:lineRule="auto"/>
              <w:jc w:val="center"/>
              <w:rPr>
                <w:rFonts w:asciiTheme="minorHAnsi" w:hAnsiTheme="minorHAnsi" w:cstheme="minorHAnsi"/>
                <w:b/>
                <w:bCs/>
                <w:smallCaps/>
                <w:sz w:val="40"/>
                <w:szCs w:val="40"/>
              </w:rPr>
            </w:pPr>
            <w:r w:rsidRPr="000847E5">
              <w:rPr>
                <w:rFonts w:asciiTheme="minorHAnsi" w:hAnsiTheme="minorHAnsi" w:cstheme="minorHAnsi"/>
                <w:b/>
                <w:bCs/>
                <w:smallCaps/>
                <w:sz w:val="40"/>
                <w:szCs w:val="40"/>
              </w:rPr>
              <w:t>Piano Triennale per la Prevenzione della Corruzione</w:t>
            </w:r>
          </w:p>
          <w:p w14:paraId="1D3F9BFC" w14:textId="77777777" w:rsidR="00364BA5" w:rsidRPr="000847E5" w:rsidRDefault="00FE7A1C" w:rsidP="00086533">
            <w:pPr>
              <w:spacing w:line="276" w:lineRule="auto"/>
              <w:jc w:val="center"/>
              <w:rPr>
                <w:rFonts w:asciiTheme="minorHAnsi" w:hAnsiTheme="minorHAnsi" w:cstheme="minorHAnsi"/>
                <w:b/>
                <w:bCs/>
                <w:smallCaps/>
                <w:sz w:val="40"/>
                <w:szCs w:val="40"/>
              </w:rPr>
            </w:pPr>
            <w:r w:rsidRPr="000847E5">
              <w:rPr>
                <w:rFonts w:asciiTheme="minorHAnsi" w:hAnsiTheme="minorHAnsi" w:cstheme="minorHAnsi"/>
                <w:b/>
                <w:bCs/>
                <w:smallCaps/>
                <w:sz w:val="40"/>
                <w:szCs w:val="40"/>
              </w:rPr>
              <w:t>e della Trasparenza</w:t>
            </w:r>
          </w:p>
          <w:p w14:paraId="2C4FDE00" w14:textId="77777777" w:rsidR="00364BA5" w:rsidRPr="000847E5" w:rsidRDefault="00FE7A1C" w:rsidP="00086533">
            <w:pPr>
              <w:spacing w:line="276" w:lineRule="auto"/>
              <w:jc w:val="center"/>
              <w:rPr>
                <w:rFonts w:asciiTheme="minorHAnsi" w:hAnsiTheme="minorHAnsi" w:cstheme="minorHAnsi"/>
              </w:rPr>
            </w:pPr>
            <w:r w:rsidRPr="000847E5">
              <w:rPr>
                <w:rFonts w:asciiTheme="minorHAnsi" w:hAnsiTheme="minorHAnsi" w:cstheme="minorHAnsi"/>
                <w:b/>
                <w:bCs/>
                <w:smallCaps/>
                <w:sz w:val="40"/>
                <w:szCs w:val="40"/>
              </w:rPr>
              <w:t>2021-2023</w:t>
            </w:r>
          </w:p>
        </w:tc>
      </w:tr>
    </w:tbl>
    <w:p w14:paraId="3A27D299" w14:textId="77777777" w:rsidR="00364BA5" w:rsidRPr="000847E5" w:rsidRDefault="00364BA5" w:rsidP="00086533">
      <w:pPr>
        <w:spacing w:line="276" w:lineRule="auto"/>
        <w:jc w:val="both"/>
        <w:rPr>
          <w:rFonts w:asciiTheme="minorHAnsi" w:hAnsiTheme="minorHAnsi" w:cstheme="minorHAnsi"/>
          <w:b/>
        </w:rPr>
      </w:pPr>
    </w:p>
    <w:p w14:paraId="24C70A9B" w14:textId="77777777" w:rsidR="00364BA5" w:rsidRPr="000847E5" w:rsidRDefault="00364BA5" w:rsidP="00086533">
      <w:pPr>
        <w:spacing w:line="276" w:lineRule="auto"/>
        <w:jc w:val="both"/>
        <w:rPr>
          <w:rFonts w:asciiTheme="minorHAnsi" w:hAnsiTheme="minorHAnsi" w:cstheme="minorHAnsi"/>
          <w:b/>
        </w:rPr>
      </w:pPr>
    </w:p>
    <w:p w14:paraId="168A52A0" w14:textId="77777777" w:rsidR="00364BA5" w:rsidRPr="000847E5" w:rsidRDefault="00364BA5" w:rsidP="00086533">
      <w:pPr>
        <w:spacing w:line="276" w:lineRule="auto"/>
        <w:jc w:val="both"/>
        <w:rPr>
          <w:rFonts w:asciiTheme="minorHAnsi" w:hAnsiTheme="minorHAnsi" w:cstheme="minorHAnsi"/>
          <w:b/>
        </w:rPr>
      </w:pPr>
    </w:p>
    <w:p w14:paraId="53907042" w14:textId="77777777" w:rsidR="00364BA5" w:rsidRPr="000847E5" w:rsidRDefault="00FE7A1C" w:rsidP="00086533">
      <w:pPr>
        <w:spacing w:line="276" w:lineRule="auto"/>
        <w:jc w:val="center"/>
        <w:rPr>
          <w:rFonts w:asciiTheme="minorHAnsi" w:hAnsiTheme="minorHAnsi" w:cstheme="minorHAnsi"/>
          <w:b/>
          <w:bCs/>
          <w:smallCaps/>
          <w:sz w:val="28"/>
          <w:szCs w:val="28"/>
        </w:rPr>
      </w:pPr>
      <w:r w:rsidRPr="000847E5">
        <w:rPr>
          <w:rFonts w:asciiTheme="minorHAnsi" w:hAnsiTheme="minorHAnsi" w:cstheme="minorHAnsi"/>
          <w:b/>
          <w:bCs/>
          <w:smallCaps/>
          <w:sz w:val="28"/>
          <w:szCs w:val="28"/>
        </w:rPr>
        <w:t>adottato dal Consiglio Notarile Distrettuale di Bolzano</w:t>
      </w:r>
    </w:p>
    <w:p w14:paraId="672F844B" w14:textId="77777777" w:rsidR="00364BA5" w:rsidRPr="000847E5" w:rsidRDefault="00FE7A1C" w:rsidP="00086533">
      <w:pPr>
        <w:spacing w:line="276" w:lineRule="auto"/>
        <w:jc w:val="center"/>
        <w:rPr>
          <w:rFonts w:asciiTheme="minorHAnsi" w:hAnsiTheme="minorHAnsi" w:cstheme="minorHAnsi"/>
          <w:b/>
          <w:bCs/>
          <w:smallCaps/>
          <w:sz w:val="28"/>
          <w:szCs w:val="28"/>
        </w:rPr>
      </w:pPr>
      <w:r w:rsidRPr="000847E5">
        <w:rPr>
          <w:rFonts w:asciiTheme="minorHAnsi" w:hAnsiTheme="minorHAnsi" w:cstheme="minorHAnsi"/>
          <w:b/>
          <w:bCs/>
          <w:smallCaps/>
          <w:sz w:val="28"/>
          <w:szCs w:val="28"/>
        </w:rPr>
        <w:t xml:space="preserve">in data </w:t>
      </w:r>
    </w:p>
    <w:p w14:paraId="24F315CD" w14:textId="77777777" w:rsidR="00364BA5" w:rsidRPr="000847E5" w:rsidRDefault="00FE7A1C" w:rsidP="00086533">
      <w:pPr>
        <w:spacing w:line="276" w:lineRule="auto"/>
        <w:jc w:val="center"/>
        <w:rPr>
          <w:rFonts w:asciiTheme="minorHAnsi" w:hAnsiTheme="minorHAnsi" w:cstheme="minorHAnsi"/>
          <w:b/>
          <w:bCs/>
          <w:smallCaps/>
          <w:sz w:val="28"/>
          <w:szCs w:val="28"/>
        </w:rPr>
      </w:pPr>
      <w:r w:rsidRPr="000847E5">
        <w:rPr>
          <w:rFonts w:asciiTheme="minorHAnsi" w:hAnsiTheme="minorHAnsi" w:cstheme="minorHAnsi"/>
          <w:b/>
          <w:bCs/>
          <w:smallCaps/>
          <w:sz w:val="28"/>
          <w:szCs w:val="28"/>
        </w:rPr>
        <w:t>su proposta del Responsabile della Prevenzione della Corruzione e della Trasparenza</w:t>
      </w:r>
    </w:p>
    <w:p w14:paraId="1C982A2C" w14:textId="77777777" w:rsidR="00364BA5" w:rsidRPr="000847E5" w:rsidRDefault="00FE7A1C" w:rsidP="00086533">
      <w:pPr>
        <w:spacing w:line="276" w:lineRule="auto"/>
        <w:jc w:val="center"/>
        <w:rPr>
          <w:rFonts w:asciiTheme="minorHAnsi" w:hAnsiTheme="minorHAnsi" w:cstheme="minorHAnsi"/>
          <w:b/>
        </w:rPr>
      </w:pPr>
      <w:r w:rsidRPr="000847E5">
        <w:rPr>
          <w:rFonts w:asciiTheme="minorHAnsi" w:hAnsiTheme="minorHAnsi" w:cstheme="minorHAnsi"/>
          <w:b/>
          <w:bCs/>
          <w:smallCaps/>
          <w:sz w:val="28"/>
          <w:szCs w:val="28"/>
        </w:rPr>
        <w:t>ai sensi della Legge 190/2012 e della Delibera ANAC n. 831 del 3 agosto 2016</w:t>
      </w:r>
    </w:p>
    <w:p w14:paraId="1496A584" w14:textId="77777777" w:rsidR="00364BA5" w:rsidRPr="000847E5" w:rsidRDefault="00364BA5" w:rsidP="00086533">
      <w:pPr>
        <w:spacing w:line="276" w:lineRule="auto"/>
        <w:jc w:val="both"/>
        <w:rPr>
          <w:rFonts w:asciiTheme="minorHAnsi" w:hAnsiTheme="minorHAnsi" w:cstheme="minorHAnsi"/>
          <w:b/>
        </w:rPr>
      </w:pPr>
    </w:p>
    <w:p w14:paraId="45CE836D" w14:textId="329F9CF6" w:rsidR="00364BA5" w:rsidRDefault="00364BA5" w:rsidP="00086533">
      <w:pPr>
        <w:spacing w:line="276" w:lineRule="auto"/>
        <w:jc w:val="both"/>
        <w:rPr>
          <w:rFonts w:asciiTheme="minorHAnsi" w:hAnsiTheme="minorHAnsi" w:cstheme="minorHAnsi"/>
          <w:b/>
        </w:rPr>
      </w:pPr>
    </w:p>
    <w:p w14:paraId="305550DA" w14:textId="77777777" w:rsidR="000847E5" w:rsidRPr="000847E5" w:rsidRDefault="000847E5" w:rsidP="00086533">
      <w:pPr>
        <w:spacing w:line="276" w:lineRule="auto"/>
        <w:jc w:val="both"/>
        <w:rPr>
          <w:rFonts w:asciiTheme="minorHAnsi" w:hAnsiTheme="minorHAnsi" w:cstheme="minorHAnsi"/>
          <w:b/>
        </w:rPr>
      </w:pPr>
    </w:p>
    <w:p w14:paraId="1E94C025" w14:textId="5ACAD8BB" w:rsidR="003B5069" w:rsidRPr="000847E5" w:rsidRDefault="003B5069" w:rsidP="00086533">
      <w:pPr>
        <w:suppressAutoHyphens w:val="0"/>
        <w:spacing w:line="276" w:lineRule="auto"/>
        <w:rPr>
          <w:rFonts w:asciiTheme="minorHAnsi" w:hAnsiTheme="minorHAnsi" w:cstheme="minorHAnsi"/>
          <w:b/>
        </w:rPr>
      </w:pPr>
      <w:r w:rsidRPr="000847E5">
        <w:rPr>
          <w:rFonts w:asciiTheme="minorHAnsi" w:hAnsiTheme="minorHAnsi" w:cstheme="minorHAnsi"/>
          <w:b/>
        </w:rPr>
        <w:br w:type="page"/>
      </w:r>
    </w:p>
    <w:p w14:paraId="70DED108" w14:textId="48D3B085" w:rsidR="00DF4907" w:rsidRPr="00423551" w:rsidRDefault="006A7294" w:rsidP="00423551">
      <w:pPr>
        <w:tabs>
          <w:tab w:val="left" w:pos="9356"/>
        </w:tabs>
        <w:autoSpaceDN w:val="0"/>
        <w:spacing w:line="276" w:lineRule="auto"/>
        <w:jc w:val="center"/>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lastRenderedPageBreak/>
        <w:t>SOMMARIO</w:t>
      </w:r>
    </w:p>
    <w:p w14:paraId="19459D83" w14:textId="56060DD9"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bookmarkStart w:id="0" w:name="_Hlk63785604"/>
      <w:r w:rsidRPr="00423551">
        <w:rPr>
          <w:rFonts w:asciiTheme="minorHAnsi" w:hAnsiTheme="minorHAnsi" w:cstheme="minorHAnsi"/>
          <w:b/>
          <w:kern w:val="3"/>
          <w:sz w:val="21"/>
          <w:szCs w:val="21"/>
          <w:lang w:eastAsia="zh-CN"/>
        </w:rPr>
        <w:t>CONSIDERAZIONI PRELIMINARI</w:t>
      </w:r>
      <w:r w:rsidRPr="00423551">
        <w:rPr>
          <w:rFonts w:asciiTheme="minorHAnsi" w:hAnsiTheme="minorHAnsi" w:cstheme="minorHAnsi"/>
          <w:b/>
          <w:kern w:val="3"/>
          <w:sz w:val="21"/>
          <w:szCs w:val="21"/>
          <w:lang w:eastAsia="zh-CN"/>
        </w:rPr>
        <w:tab/>
      </w:r>
      <w:r w:rsidR="00166B53">
        <w:rPr>
          <w:rFonts w:asciiTheme="minorHAnsi" w:hAnsiTheme="minorHAnsi" w:cstheme="minorHAnsi"/>
          <w:b/>
          <w:kern w:val="3"/>
          <w:sz w:val="21"/>
          <w:szCs w:val="21"/>
          <w:lang w:eastAsia="zh-CN"/>
        </w:rPr>
        <w:t>3</w:t>
      </w:r>
    </w:p>
    <w:p w14:paraId="1EB85A2C" w14:textId="6E6D1672"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1.1. Ambito oggettivo: il sistema di prevenzione della corruzione impostato dalla Legge 190/2012 e l'ampio concetto di “corruzione nella P.A.”</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3</w:t>
      </w:r>
    </w:p>
    <w:p w14:paraId="21680A93" w14:textId="0E239F0D"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1.2. Ambito soggettivo: l'applicazione della Legge 190/2012 agli ordini professionali e ai Consigli Notarili Distrettuali</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6</w:t>
      </w:r>
    </w:p>
    <w:p w14:paraId="2F6A72E9" w14:textId="25E69E5D"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1.3. Metodologia utilizzata per la redazione del PTPCT </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6</w:t>
      </w:r>
    </w:p>
    <w:p w14:paraId="6CA63263" w14:textId="4EDEFED0" w:rsidR="006A7294" w:rsidRPr="00423551" w:rsidRDefault="006A7294" w:rsidP="00502FDC">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1.4. Finalità e destinatari del PTPCT </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8</w:t>
      </w:r>
    </w:p>
    <w:p w14:paraId="1F85E446" w14:textId="77777777" w:rsidR="00502FDC" w:rsidRPr="00423551" w:rsidRDefault="00502FDC" w:rsidP="00502FDC">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EE7EF9C" w14:textId="11DA20AC"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ANALISI DEL CONTESTO ESTERNO E INTERNO</w:t>
      </w:r>
      <w:r w:rsidRPr="00423551">
        <w:rPr>
          <w:rFonts w:asciiTheme="minorHAnsi" w:hAnsiTheme="minorHAnsi" w:cstheme="minorHAnsi"/>
          <w:b/>
          <w:kern w:val="3"/>
          <w:sz w:val="21"/>
          <w:szCs w:val="21"/>
          <w:lang w:eastAsia="zh-CN"/>
        </w:rPr>
        <w:tab/>
      </w:r>
      <w:r w:rsidR="00166B53">
        <w:rPr>
          <w:rFonts w:asciiTheme="minorHAnsi" w:hAnsiTheme="minorHAnsi" w:cstheme="minorHAnsi"/>
          <w:b/>
          <w:kern w:val="3"/>
          <w:sz w:val="21"/>
          <w:szCs w:val="21"/>
          <w:lang w:eastAsia="zh-CN"/>
        </w:rPr>
        <w:t>9</w:t>
      </w:r>
    </w:p>
    <w:p w14:paraId="62E00006" w14:textId="7D6518BE"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2.1. Il CND di Bolzano: il contesto esterno e la struttura organizzativa interna</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9</w:t>
      </w:r>
    </w:p>
    <w:p w14:paraId="466DC38A" w14:textId="2330243D"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2.2. Il CND di Bolzano: le sue competenze</w:t>
      </w:r>
      <w:r w:rsidRPr="00423551">
        <w:rPr>
          <w:rFonts w:asciiTheme="minorHAnsi" w:hAnsiTheme="minorHAnsi" w:cstheme="minorHAnsi"/>
          <w:bCs/>
          <w:kern w:val="3"/>
          <w:sz w:val="21"/>
          <w:szCs w:val="21"/>
          <w:lang w:eastAsia="zh-CN"/>
        </w:rPr>
        <w:tab/>
        <w:t>1</w:t>
      </w:r>
      <w:r w:rsidR="00166B53">
        <w:rPr>
          <w:rFonts w:asciiTheme="minorHAnsi" w:hAnsiTheme="minorHAnsi" w:cstheme="minorHAnsi"/>
          <w:bCs/>
          <w:kern w:val="3"/>
          <w:sz w:val="21"/>
          <w:szCs w:val="21"/>
          <w:lang w:eastAsia="zh-CN"/>
        </w:rPr>
        <w:t>0</w:t>
      </w:r>
    </w:p>
    <w:p w14:paraId="7BF36B68" w14:textId="04F13A9F"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2.3. Ente di diritto privato in controllo</w:t>
      </w:r>
      <w:r w:rsidRPr="00423551">
        <w:rPr>
          <w:rFonts w:asciiTheme="minorHAnsi" w:hAnsiTheme="minorHAnsi" w:cstheme="minorHAnsi"/>
          <w:bCs/>
          <w:kern w:val="3"/>
          <w:sz w:val="21"/>
          <w:szCs w:val="21"/>
          <w:lang w:eastAsia="zh-CN"/>
        </w:rPr>
        <w:tab/>
        <w:t>1</w:t>
      </w:r>
      <w:r w:rsidR="00166B53">
        <w:rPr>
          <w:rFonts w:asciiTheme="minorHAnsi" w:hAnsiTheme="minorHAnsi" w:cstheme="minorHAnsi"/>
          <w:bCs/>
          <w:kern w:val="3"/>
          <w:sz w:val="21"/>
          <w:szCs w:val="21"/>
          <w:lang w:eastAsia="zh-CN"/>
        </w:rPr>
        <w:t>1</w:t>
      </w:r>
    </w:p>
    <w:p w14:paraId="446C72A9" w14:textId="3A4CDC22"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2.4. Il Responsabile della prevenzione della corruzione e della trasparenza del CND di Bolzano</w:t>
      </w:r>
      <w:r w:rsidRPr="00423551">
        <w:rPr>
          <w:rFonts w:asciiTheme="minorHAnsi" w:hAnsiTheme="minorHAnsi" w:cstheme="minorHAnsi"/>
          <w:bCs/>
          <w:kern w:val="3"/>
          <w:sz w:val="21"/>
          <w:szCs w:val="21"/>
          <w:lang w:eastAsia="zh-CN"/>
        </w:rPr>
        <w:tab/>
        <w:t>1</w:t>
      </w:r>
      <w:r w:rsidR="00166B53">
        <w:rPr>
          <w:rFonts w:asciiTheme="minorHAnsi" w:hAnsiTheme="minorHAnsi" w:cstheme="minorHAnsi"/>
          <w:bCs/>
          <w:kern w:val="3"/>
          <w:sz w:val="21"/>
          <w:szCs w:val="21"/>
          <w:lang w:eastAsia="zh-CN"/>
        </w:rPr>
        <w:t>1</w:t>
      </w:r>
    </w:p>
    <w:p w14:paraId="0F779D3B" w14:textId="4301F2B5"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2.7. La mappatura dei processi</w:t>
      </w:r>
      <w:r w:rsidRPr="00423551">
        <w:rPr>
          <w:rFonts w:asciiTheme="minorHAnsi" w:hAnsiTheme="minorHAnsi" w:cstheme="minorHAnsi"/>
          <w:bCs/>
          <w:kern w:val="3"/>
          <w:sz w:val="21"/>
          <w:szCs w:val="21"/>
          <w:lang w:eastAsia="zh-CN"/>
        </w:rPr>
        <w:tab/>
        <w:t>1</w:t>
      </w:r>
      <w:r w:rsidR="00166B53">
        <w:rPr>
          <w:rFonts w:asciiTheme="minorHAnsi" w:hAnsiTheme="minorHAnsi" w:cstheme="minorHAnsi"/>
          <w:bCs/>
          <w:kern w:val="3"/>
          <w:sz w:val="21"/>
          <w:szCs w:val="21"/>
          <w:lang w:eastAsia="zh-CN"/>
        </w:rPr>
        <w:t>2</w:t>
      </w:r>
    </w:p>
    <w:p w14:paraId="7AD7A01F"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D26AE3D" w14:textId="7FF0057C"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LA VALUTAZIONE DEL RISCHIO</w:t>
      </w:r>
      <w:r w:rsidRPr="00423551">
        <w:rPr>
          <w:rFonts w:asciiTheme="minorHAnsi" w:hAnsiTheme="minorHAnsi" w:cstheme="minorHAnsi"/>
          <w:b/>
          <w:kern w:val="3"/>
          <w:sz w:val="21"/>
          <w:szCs w:val="21"/>
          <w:lang w:eastAsia="zh-CN"/>
        </w:rPr>
        <w:tab/>
        <w:t>1</w:t>
      </w:r>
      <w:r w:rsidR="00166B53">
        <w:rPr>
          <w:rFonts w:asciiTheme="minorHAnsi" w:hAnsiTheme="minorHAnsi" w:cstheme="minorHAnsi"/>
          <w:b/>
          <w:kern w:val="3"/>
          <w:sz w:val="21"/>
          <w:szCs w:val="21"/>
          <w:lang w:eastAsia="zh-CN"/>
        </w:rPr>
        <w:t>4</w:t>
      </w:r>
    </w:p>
    <w:p w14:paraId="0FF72012" w14:textId="07681BDC"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3.1. Il registro degli eventi rischiosi</w:t>
      </w:r>
      <w:r w:rsidRPr="00423551">
        <w:rPr>
          <w:rFonts w:asciiTheme="minorHAnsi" w:hAnsiTheme="minorHAnsi" w:cstheme="minorHAnsi"/>
          <w:bCs/>
          <w:kern w:val="3"/>
          <w:sz w:val="21"/>
          <w:szCs w:val="21"/>
          <w:lang w:eastAsia="zh-CN"/>
        </w:rPr>
        <w:tab/>
        <w:t>1</w:t>
      </w:r>
      <w:r w:rsidR="00166B53">
        <w:rPr>
          <w:rFonts w:asciiTheme="minorHAnsi" w:hAnsiTheme="minorHAnsi" w:cstheme="minorHAnsi"/>
          <w:bCs/>
          <w:kern w:val="3"/>
          <w:sz w:val="21"/>
          <w:szCs w:val="21"/>
          <w:lang w:eastAsia="zh-CN"/>
        </w:rPr>
        <w:t>4</w:t>
      </w:r>
    </w:p>
    <w:p w14:paraId="16961813"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172659F6" w14:textId="15A17722"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IL TRATTAMENTO DEL RISCHIO</w:t>
      </w:r>
      <w:r w:rsidRPr="00423551">
        <w:rPr>
          <w:rFonts w:asciiTheme="minorHAnsi" w:hAnsiTheme="minorHAnsi" w:cstheme="minorHAnsi"/>
          <w:b/>
          <w:kern w:val="3"/>
          <w:sz w:val="21"/>
          <w:szCs w:val="21"/>
          <w:lang w:eastAsia="zh-CN"/>
        </w:rPr>
        <w:tab/>
        <w:t>1</w:t>
      </w:r>
      <w:r w:rsidR="00166B53">
        <w:rPr>
          <w:rFonts w:asciiTheme="minorHAnsi" w:hAnsiTheme="minorHAnsi" w:cstheme="minorHAnsi"/>
          <w:b/>
          <w:kern w:val="3"/>
          <w:sz w:val="21"/>
          <w:szCs w:val="21"/>
          <w:lang w:eastAsia="zh-CN"/>
        </w:rPr>
        <w:t>5</w:t>
      </w:r>
    </w:p>
    <w:p w14:paraId="3555E9AA" w14:textId="0EAEA175"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4.1. Osservazioni generali - Individuazione e programmazione delle misure generali e specifiche </w:t>
      </w:r>
      <w:r w:rsidRPr="00423551">
        <w:rPr>
          <w:rFonts w:asciiTheme="minorHAnsi" w:hAnsiTheme="minorHAnsi" w:cstheme="minorHAnsi"/>
          <w:bCs/>
          <w:kern w:val="3"/>
          <w:sz w:val="21"/>
          <w:szCs w:val="21"/>
          <w:lang w:eastAsia="zh-CN"/>
        </w:rPr>
        <w:tab/>
        <w:t>1</w:t>
      </w:r>
      <w:r w:rsidR="00166B53">
        <w:rPr>
          <w:rFonts w:asciiTheme="minorHAnsi" w:hAnsiTheme="minorHAnsi" w:cstheme="minorHAnsi"/>
          <w:bCs/>
          <w:kern w:val="3"/>
          <w:sz w:val="21"/>
          <w:szCs w:val="21"/>
          <w:lang w:eastAsia="zh-CN"/>
        </w:rPr>
        <w:t>5</w:t>
      </w:r>
    </w:p>
    <w:p w14:paraId="3BF1FA8C" w14:textId="06A9B2AF"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4.1 Misure di imparzialità soggettiva dei funzionari pubblici - Misure sull'accesso/permanenza nell'incarico/carica pubblica</w:t>
      </w:r>
      <w:r w:rsidRPr="00423551">
        <w:rPr>
          <w:rFonts w:asciiTheme="minorHAnsi" w:hAnsiTheme="minorHAnsi" w:cstheme="minorHAnsi"/>
          <w:bCs/>
          <w:kern w:val="3"/>
          <w:sz w:val="21"/>
          <w:szCs w:val="21"/>
          <w:lang w:eastAsia="zh-CN"/>
        </w:rPr>
        <w:tab/>
        <w:t>1</w:t>
      </w:r>
      <w:r w:rsidR="00166B53">
        <w:rPr>
          <w:rFonts w:asciiTheme="minorHAnsi" w:hAnsiTheme="minorHAnsi" w:cstheme="minorHAnsi"/>
          <w:bCs/>
          <w:kern w:val="3"/>
          <w:sz w:val="21"/>
          <w:szCs w:val="21"/>
          <w:lang w:eastAsia="zh-CN"/>
        </w:rPr>
        <w:t>7</w:t>
      </w:r>
    </w:p>
    <w:p w14:paraId="4D2593E4" w14:textId="125AD023"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4.2 Misure di formazione - La formazione in materia di etica, integrità ed altre tematiche inerenti al rischio corruttivo </w:t>
      </w:r>
      <w:r w:rsidRPr="00423551">
        <w:rPr>
          <w:rFonts w:asciiTheme="minorHAnsi" w:hAnsiTheme="minorHAnsi" w:cstheme="minorHAnsi"/>
          <w:bCs/>
          <w:kern w:val="3"/>
          <w:sz w:val="21"/>
          <w:szCs w:val="21"/>
          <w:lang w:eastAsia="zh-CN"/>
        </w:rPr>
        <w:tab/>
        <w:t>2</w:t>
      </w:r>
      <w:r w:rsidR="00166B53">
        <w:rPr>
          <w:rFonts w:asciiTheme="minorHAnsi" w:hAnsiTheme="minorHAnsi" w:cstheme="minorHAnsi"/>
          <w:bCs/>
          <w:kern w:val="3"/>
          <w:sz w:val="21"/>
          <w:szCs w:val="21"/>
          <w:lang w:eastAsia="zh-CN"/>
        </w:rPr>
        <w:t>4</w:t>
      </w:r>
    </w:p>
    <w:p w14:paraId="35A77329" w14:textId="412E4EC8"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4.3 Misure di rotazione ordinaria - La rotazione del personale, ove esistente, nelle aree a rischio corruzione, se materialmente possibile </w:t>
      </w:r>
      <w:r w:rsidRPr="00423551">
        <w:rPr>
          <w:rFonts w:asciiTheme="minorHAnsi" w:hAnsiTheme="minorHAnsi" w:cstheme="minorHAnsi"/>
          <w:bCs/>
          <w:kern w:val="3"/>
          <w:sz w:val="21"/>
          <w:szCs w:val="21"/>
          <w:lang w:eastAsia="zh-CN"/>
        </w:rPr>
        <w:tab/>
        <w:t>2</w:t>
      </w:r>
      <w:r w:rsidR="00166B53">
        <w:rPr>
          <w:rFonts w:asciiTheme="minorHAnsi" w:hAnsiTheme="minorHAnsi" w:cstheme="minorHAnsi"/>
          <w:bCs/>
          <w:kern w:val="3"/>
          <w:sz w:val="21"/>
          <w:szCs w:val="21"/>
          <w:lang w:eastAsia="zh-CN"/>
        </w:rPr>
        <w:t>5</w:t>
      </w:r>
    </w:p>
    <w:p w14:paraId="73F9C3DC" w14:textId="62A62EFF"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4.4 Misure di trasparenza - L’adozione di adeguate misure di trasparenza (disciplinate dal D.Lgs. 33/2013, come modificato dal D.Lgs. 97/2016) </w:t>
      </w:r>
      <w:r w:rsidRPr="00423551">
        <w:rPr>
          <w:rFonts w:asciiTheme="minorHAnsi" w:hAnsiTheme="minorHAnsi" w:cstheme="minorHAnsi"/>
          <w:bCs/>
          <w:kern w:val="3"/>
          <w:sz w:val="21"/>
          <w:szCs w:val="21"/>
          <w:lang w:eastAsia="zh-CN"/>
        </w:rPr>
        <w:tab/>
        <w:t>2</w:t>
      </w:r>
      <w:r w:rsidR="00166B53">
        <w:rPr>
          <w:rFonts w:asciiTheme="minorHAnsi" w:hAnsiTheme="minorHAnsi" w:cstheme="minorHAnsi"/>
          <w:bCs/>
          <w:kern w:val="3"/>
          <w:sz w:val="21"/>
          <w:szCs w:val="21"/>
          <w:lang w:eastAsia="zh-CN"/>
        </w:rPr>
        <w:t>5</w:t>
      </w:r>
    </w:p>
    <w:p w14:paraId="4FDBB234"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A50424B" w14:textId="0CEB4967"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MONITORAGGIO E RIESAME</w:t>
      </w:r>
      <w:r w:rsidRPr="00423551">
        <w:rPr>
          <w:rFonts w:asciiTheme="minorHAnsi" w:hAnsiTheme="minorHAnsi" w:cstheme="minorHAnsi"/>
          <w:b/>
          <w:kern w:val="3"/>
          <w:sz w:val="21"/>
          <w:szCs w:val="21"/>
          <w:lang w:eastAsia="zh-CN"/>
        </w:rPr>
        <w:tab/>
        <w:t>2</w:t>
      </w:r>
      <w:r w:rsidR="00166B53">
        <w:rPr>
          <w:rFonts w:asciiTheme="minorHAnsi" w:hAnsiTheme="minorHAnsi" w:cstheme="minorHAnsi"/>
          <w:b/>
          <w:kern w:val="3"/>
          <w:sz w:val="21"/>
          <w:szCs w:val="21"/>
          <w:lang w:eastAsia="zh-CN"/>
        </w:rPr>
        <w:t>5</w:t>
      </w:r>
    </w:p>
    <w:p w14:paraId="340C0313" w14:textId="720F0E1F"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5.1. Monitoraggio sull'attuazione e sull'idoneità delle misure - Riesame periodico della funzionalità complessiva del sistema - Aggiornamento del PTPCT</w:t>
      </w:r>
      <w:r w:rsidRPr="00423551">
        <w:rPr>
          <w:rFonts w:asciiTheme="minorHAnsi" w:hAnsiTheme="minorHAnsi" w:cstheme="minorHAnsi"/>
          <w:bCs/>
          <w:kern w:val="3"/>
          <w:sz w:val="21"/>
          <w:szCs w:val="21"/>
          <w:lang w:eastAsia="zh-CN"/>
        </w:rPr>
        <w:tab/>
        <w:t>2</w:t>
      </w:r>
      <w:r w:rsidR="00166B53">
        <w:rPr>
          <w:rFonts w:asciiTheme="minorHAnsi" w:hAnsiTheme="minorHAnsi" w:cstheme="minorHAnsi"/>
          <w:bCs/>
          <w:kern w:val="3"/>
          <w:sz w:val="21"/>
          <w:szCs w:val="21"/>
          <w:lang w:eastAsia="zh-CN"/>
        </w:rPr>
        <w:t>5</w:t>
      </w:r>
    </w:p>
    <w:p w14:paraId="4BDEC2D9"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BE5DB98" w14:textId="2798CABE"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OBBLIGHI DI INFORMAZIONE - CONSULTAZIONE E COMUNICAZIONE</w:t>
      </w:r>
      <w:r w:rsidRPr="00423551">
        <w:rPr>
          <w:rFonts w:asciiTheme="minorHAnsi" w:hAnsiTheme="minorHAnsi" w:cstheme="minorHAnsi"/>
          <w:b/>
          <w:kern w:val="3"/>
          <w:sz w:val="21"/>
          <w:szCs w:val="21"/>
          <w:lang w:eastAsia="zh-CN"/>
        </w:rPr>
        <w:tab/>
        <w:t>2</w:t>
      </w:r>
      <w:r w:rsidR="00166B53">
        <w:rPr>
          <w:rFonts w:asciiTheme="minorHAnsi" w:hAnsiTheme="minorHAnsi" w:cstheme="minorHAnsi"/>
          <w:b/>
          <w:kern w:val="3"/>
          <w:sz w:val="21"/>
          <w:szCs w:val="21"/>
          <w:lang w:eastAsia="zh-CN"/>
        </w:rPr>
        <w:t>6</w:t>
      </w:r>
    </w:p>
    <w:p w14:paraId="7C262B1C"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5F50C9A8" w14:textId="35727416"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ATTUAZIONE DELLA TRASPARENZA</w:t>
      </w:r>
      <w:r w:rsidRPr="00423551">
        <w:rPr>
          <w:rFonts w:asciiTheme="minorHAnsi" w:hAnsiTheme="minorHAnsi" w:cstheme="minorHAnsi"/>
          <w:b/>
          <w:kern w:val="3"/>
          <w:sz w:val="21"/>
          <w:szCs w:val="21"/>
          <w:lang w:eastAsia="zh-CN"/>
        </w:rPr>
        <w:tab/>
        <w:t>2</w:t>
      </w:r>
      <w:r w:rsidR="00166B53">
        <w:rPr>
          <w:rFonts w:asciiTheme="minorHAnsi" w:hAnsiTheme="minorHAnsi" w:cstheme="minorHAnsi"/>
          <w:b/>
          <w:kern w:val="3"/>
          <w:sz w:val="21"/>
          <w:szCs w:val="21"/>
          <w:lang w:eastAsia="zh-CN"/>
        </w:rPr>
        <w:t>7</w:t>
      </w:r>
    </w:p>
    <w:p w14:paraId="39550EDE" w14:textId="765385B2"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7.1. Responsabili della trasmissione e della pubblicazione</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28</w:t>
      </w:r>
    </w:p>
    <w:p w14:paraId="0F283684" w14:textId="5776A02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7.2. Compiti del Consiglio</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29</w:t>
      </w:r>
    </w:p>
    <w:p w14:paraId="14C00D98" w14:textId="739465AC"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7.3. Processo di attuazione della trasparenza</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29</w:t>
      </w:r>
    </w:p>
    <w:p w14:paraId="26D63711" w14:textId="63732426"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7.4. La sezione “Amministrazione trasparente”</w:t>
      </w:r>
      <w:r w:rsidRPr="00423551">
        <w:rPr>
          <w:rFonts w:asciiTheme="minorHAnsi" w:hAnsiTheme="minorHAnsi" w:cstheme="minorHAnsi"/>
          <w:bCs/>
          <w:kern w:val="3"/>
          <w:sz w:val="21"/>
          <w:szCs w:val="21"/>
          <w:lang w:eastAsia="zh-CN"/>
        </w:rPr>
        <w:tab/>
      </w:r>
      <w:r w:rsidR="00702945" w:rsidRPr="00423551">
        <w:rPr>
          <w:rFonts w:asciiTheme="minorHAnsi" w:hAnsiTheme="minorHAnsi" w:cstheme="minorHAnsi"/>
          <w:bCs/>
          <w:kern w:val="3"/>
          <w:sz w:val="21"/>
          <w:szCs w:val="21"/>
          <w:lang w:eastAsia="zh-CN"/>
        </w:rPr>
        <w:t>3</w:t>
      </w:r>
      <w:r w:rsidR="00166B53">
        <w:rPr>
          <w:rFonts w:asciiTheme="minorHAnsi" w:hAnsiTheme="minorHAnsi" w:cstheme="minorHAnsi"/>
          <w:bCs/>
          <w:kern w:val="3"/>
          <w:sz w:val="21"/>
          <w:szCs w:val="21"/>
          <w:lang w:eastAsia="zh-CN"/>
        </w:rPr>
        <w:t>0</w:t>
      </w:r>
    </w:p>
    <w:p w14:paraId="030B5F85" w14:textId="24F52950"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7.5. Qualità dei dati e delle informazioni soggette ad obbligo di pubblicazione</w:t>
      </w:r>
      <w:r w:rsidRPr="00423551">
        <w:rPr>
          <w:rFonts w:asciiTheme="minorHAnsi" w:hAnsiTheme="minorHAnsi" w:cstheme="minorHAnsi"/>
          <w:bCs/>
          <w:kern w:val="3"/>
          <w:sz w:val="21"/>
          <w:szCs w:val="21"/>
          <w:lang w:eastAsia="zh-CN"/>
        </w:rPr>
        <w:tab/>
        <w:t>3</w:t>
      </w:r>
      <w:r w:rsidR="00166B53">
        <w:rPr>
          <w:rFonts w:asciiTheme="minorHAnsi" w:hAnsiTheme="minorHAnsi" w:cstheme="minorHAnsi"/>
          <w:bCs/>
          <w:kern w:val="3"/>
          <w:sz w:val="21"/>
          <w:szCs w:val="21"/>
          <w:lang w:eastAsia="zh-CN"/>
        </w:rPr>
        <w:t>0</w:t>
      </w:r>
    </w:p>
    <w:p w14:paraId="665C2AB6" w14:textId="3B571A23"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7.6. Categorie dei dati da pubblicare, soggetti responsabili e termini della trasmissione</w:t>
      </w:r>
      <w:r w:rsidRPr="00423551">
        <w:rPr>
          <w:rFonts w:asciiTheme="minorHAnsi" w:hAnsiTheme="minorHAnsi" w:cstheme="minorHAnsi"/>
          <w:bCs/>
          <w:kern w:val="3"/>
          <w:sz w:val="21"/>
          <w:szCs w:val="21"/>
          <w:lang w:eastAsia="zh-CN"/>
        </w:rPr>
        <w:tab/>
        <w:t>3</w:t>
      </w:r>
      <w:r w:rsidR="00166B53">
        <w:rPr>
          <w:rFonts w:asciiTheme="minorHAnsi" w:hAnsiTheme="minorHAnsi" w:cstheme="minorHAnsi"/>
          <w:bCs/>
          <w:kern w:val="3"/>
          <w:sz w:val="21"/>
          <w:szCs w:val="21"/>
          <w:lang w:eastAsia="zh-CN"/>
        </w:rPr>
        <w:t>0</w:t>
      </w:r>
    </w:p>
    <w:p w14:paraId="78DF6733" w14:textId="6B1C83CA"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7.7. Accesso civico</w:t>
      </w:r>
      <w:r w:rsidRPr="00423551">
        <w:rPr>
          <w:rFonts w:asciiTheme="minorHAnsi" w:hAnsiTheme="minorHAnsi" w:cstheme="minorHAnsi"/>
          <w:bCs/>
          <w:kern w:val="3"/>
          <w:sz w:val="21"/>
          <w:szCs w:val="21"/>
          <w:lang w:eastAsia="zh-CN"/>
        </w:rPr>
        <w:tab/>
        <w:t>3</w:t>
      </w:r>
      <w:r w:rsidR="00166B53">
        <w:rPr>
          <w:rFonts w:asciiTheme="minorHAnsi" w:hAnsiTheme="minorHAnsi" w:cstheme="minorHAnsi"/>
          <w:bCs/>
          <w:kern w:val="3"/>
          <w:sz w:val="21"/>
          <w:szCs w:val="21"/>
          <w:lang w:eastAsia="zh-CN"/>
        </w:rPr>
        <w:t>0</w:t>
      </w:r>
    </w:p>
    <w:p w14:paraId="2D8713A1"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208C3F5" w14:textId="49A63311"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ALLEGATI AL PTPCT</w:t>
      </w:r>
      <w:r w:rsidRPr="00423551">
        <w:rPr>
          <w:rFonts w:asciiTheme="minorHAnsi" w:hAnsiTheme="minorHAnsi" w:cstheme="minorHAnsi"/>
          <w:b/>
          <w:kern w:val="3"/>
          <w:sz w:val="21"/>
          <w:szCs w:val="21"/>
          <w:lang w:eastAsia="zh-CN"/>
        </w:rPr>
        <w:tab/>
        <w:t>3</w:t>
      </w:r>
      <w:r w:rsidR="00166B53">
        <w:rPr>
          <w:rFonts w:asciiTheme="minorHAnsi" w:hAnsiTheme="minorHAnsi" w:cstheme="minorHAnsi"/>
          <w:b/>
          <w:kern w:val="3"/>
          <w:sz w:val="21"/>
          <w:szCs w:val="21"/>
          <w:lang w:eastAsia="zh-CN"/>
        </w:rPr>
        <w:t>1</w:t>
      </w:r>
    </w:p>
    <w:bookmarkEnd w:id="0"/>
    <w:p w14:paraId="04D66357" w14:textId="262AA4AE" w:rsidR="003B5069" w:rsidRPr="00A10D09" w:rsidRDefault="003B5069" w:rsidP="00086533">
      <w:pPr>
        <w:suppressAutoHyphens w:val="0"/>
        <w:spacing w:line="276" w:lineRule="auto"/>
        <w:rPr>
          <w:rFonts w:asciiTheme="minorHAnsi" w:hAnsiTheme="minorHAnsi" w:cstheme="minorHAnsi"/>
          <w:bCs/>
          <w:kern w:val="3"/>
          <w:sz w:val="22"/>
          <w:szCs w:val="22"/>
          <w:lang w:eastAsia="zh-CN"/>
        </w:rPr>
      </w:pPr>
      <w:r w:rsidRPr="00A10D09">
        <w:rPr>
          <w:rFonts w:asciiTheme="minorHAnsi" w:hAnsiTheme="minorHAnsi" w:cstheme="minorHAnsi"/>
          <w:bCs/>
          <w:kern w:val="3"/>
          <w:sz w:val="22"/>
          <w:szCs w:val="22"/>
          <w:lang w:eastAsia="zh-CN"/>
        </w:rPr>
        <w:br w:type="page"/>
      </w:r>
    </w:p>
    <w:p w14:paraId="49C7EB71"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1" w:name="_Hlk63783331"/>
      <w:r w:rsidRPr="00A10D09">
        <w:rPr>
          <w:rFonts w:asciiTheme="minorHAnsi" w:eastAsiaTheme="minorHAnsi" w:hAnsiTheme="minorHAnsi" w:cstheme="minorHAnsi"/>
          <w:b/>
          <w:bCs/>
          <w:color w:val="auto"/>
          <w:kern w:val="0"/>
          <w:sz w:val="22"/>
          <w:szCs w:val="22"/>
          <w:lang w:eastAsia="en-US"/>
        </w:rPr>
        <w:lastRenderedPageBreak/>
        <w:t>1. CONSIDERAZIONI PRELIMINARI</w:t>
      </w:r>
    </w:p>
    <w:p w14:paraId="3AC5976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1.1. Ambito oggettivo: il sistema di prevenzione della corruzione impostato dalla Legge 190/2012 e l'ampio concetto di “corruzione nella P.A.”</w:t>
      </w:r>
    </w:p>
    <w:p w14:paraId="494E525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la Legge 6 novembre 2012, n. 190, recante "Disposizioni per la prevenzione e la repressione della corruzione e dell'illegalità nella pubblica amministrazione", è stata introdotta la disciplina delle misure per limitare il verificarsi di fenomeni corruttivi in senso ampio e comunque contrari alla legalità all'interno delle amministrazioni pubbliche, degli enti pubblici, e dei soggetti comunque esercenti pubbliche funzioni o svolgenti attività di pubblico interesse.</w:t>
      </w:r>
    </w:p>
    <w:p w14:paraId="5CB99A1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Legge 190/2012 disciplina:</w:t>
      </w:r>
    </w:p>
    <w:p w14:paraId="575A2173" w14:textId="77777777" w:rsidR="000847E5" w:rsidRPr="00A10D09" w:rsidRDefault="000847E5" w:rsidP="00086533">
      <w:pPr>
        <w:numPr>
          <w:ilvl w:val="0"/>
          <w:numId w:val="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strategia nazionale di prevenzione della corruzione nelle P.A. centrali e territoriali;</w:t>
      </w:r>
    </w:p>
    <w:p w14:paraId="37C22D97" w14:textId="77777777" w:rsidR="000847E5" w:rsidRPr="00A10D09" w:rsidRDefault="000847E5" w:rsidP="00086533">
      <w:pPr>
        <w:numPr>
          <w:ilvl w:val="0"/>
          <w:numId w:val="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soggetti istituzionali deputati a coordinare le modalità di prevenzione e contrasto alla corruzione;</w:t>
      </w:r>
    </w:p>
    <w:p w14:paraId="2F5BDA84" w14:textId="77777777" w:rsidR="000847E5" w:rsidRPr="00A10D09" w:rsidRDefault="000847E5" w:rsidP="00086533">
      <w:pPr>
        <w:numPr>
          <w:ilvl w:val="0"/>
          <w:numId w:val="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riforma del codice penale e di quello civile al fine di inasprire la lotta alla corruzione.</w:t>
      </w:r>
    </w:p>
    <w:p w14:paraId="71DAB99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L'adozione di specifiche norme per contrastare i fenomeni sopra indicati si è resa necessaria al fine di promuovere l'etica e la legalità nei soggetti deputati all'esercizio di attività di pubblico interesse.</w:t>
      </w:r>
    </w:p>
    <w:p w14:paraId="6F0DD1A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w:t>
      </w:r>
      <w:r w:rsidRPr="00A10D09">
        <w:rPr>
          <w:rFonts w:asciiTheme="minorHAnsi" w:eastAsiaTheme="minorHAnsi" w:hAnsiTheme="minorHAnsi" w:cstheme="minorHAnsi"/>
          <w:bCs/>
          <w:i/>
          <w:color w:val="auto"/>
          <w:kern w:val="0"/>
          <w:sz w:val="22"/>
          <w:szCs w:val="22"/>
          <w:lang w:eastAsia="en-US"/>
        </w:rPr>
        <w:t>mission</w:t>
      </w:r>
      <w:r w:rsidRPr="00A10D09">
        <w:rPr>
          <w:rFonts w:asciiTheme="minorHAnsi" w:eastAsiaTheme="minorHAnsi" w:hAnsiTheme="minorHAnsi" w:cstheme="minorHAnsi"/>
          <w:bCs/>
          <w:color w:val="auto"/>
          <w:kern w:val="0"/>
          <w:sz w:val="22"/>
          <w:szCs w:val="22"/>
          <w:lang w:eastAsia="en-US"/>
        </w:rPr>
        <w:t xml:space="preserve"> della Legge 190 è la prevenzione dell'illegalità ovunque venga esercitata azione amministrativa. La Legge 190, cioè, rilancia il principio di legalità nel suo significato più profondo, ossia di finalizzazione dell'azione amministrativa al puro raggiungimento dell'obiettivo d'interesse pubblico specificato nella legge, scevro dall'inquinamento da parte di interessi privati. È la separazione fra interesse privato e </w:t>
      </w:r>
      <w:r w:rsidRPr="00A10D09">
        <w:rPr>
          <w:rFonts w:asciiTheme="minorHAnsi" w:eastAsiaTheme="minorHAnsi" w:hAnsiTheme="minorHAnsi" w:cstheme="minorHAnsi"/>
          <w:bCs/>
          <w:i/>
          <w:color w:val="auto"/>
          <w:kern w:val="0"/>
          <w:sz w:val="22"/>
          <w:szCs w:val="22"/>
          <w:lang w:eastAsia="en-US"/>
        </w:rPr>
        <w:t>res publica</w:t>
      </w:r>
      <w:r w:rsidRPr="00A10D09">
        <w:rPr>
          <w:rFonts w:asciiTheme="minorHAnsi" w:eastAsiaTheme="minorHAnsi" w:hAnsiTheme="minorHAnsi" w:cstheme="minorHAnsi"/>
          <w:bCs/>
          <w:color w:val="auto"/>
          <w:kern w:val="0"/>
          <w:sz w:val="22"/>
          <w:szCs w:val="22"/>
          <w:lang w:eastAsia="en-US"/>
        </w:rPr>
        <w:t xml:space="preserve"> che costituisce il </w:t>
      </w:r>
      <w:r w:rsidRPr="00A10D09">
        <w:rPr>
          <w:rFonts w:asciiTheme="minorHAnsi" w:eastAsiaTheme="minorHAnsi" w:hAnsiTheme="minorHAnsi" w:cstheme="minorHAnsi"/>
          <w:bCs/>
          <w:i/>
          <w:iCs/>
          <w:color w:val="auto"/>
          <w:kern w:val="0"/>
          <w:sz w:val="22"/>
          <w:szCs w:val="22"/>
          <w:lang w:eastAsia="en-US"/>
        </w:rPr>
        <w:t>fil rouge</w:t>
      </w:r>
      <w:r w:rsidRPr="00A10D09">
        <w:rPr>
          <w:rFonts w:asciiTheme="minorHAnsi" w:eastAsiaTheme="minorHAnsi" w:hAnsiTheme="minorHAnsi" w:cstheme="minorHAnsi"/>
          <w:bCs/>
          <w:color w:val="auto"/>
          <w:kern w:val="0"/>
          <w:sz w:val="22"/>
          <w:szCs w:val="22"/>
          <w:lang w:eastAsia="en-US"/>
        </w:rPr>
        <w:t>, il minimo comune denominatore, sotteso alla Legge 190 e ai suoi strumenti attuativi.</w:t>
      </w:r>
    </w:p>
    <w:p w14:paraId="0031F08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 seguito dell'esercizio delle deleghe contenute nella Legge 190/2012, sono stati adottati, infatti, i seguenti decreti/strumenti attuativi:</w:t>
      </w:r>
    </w:p>
    <w:p w14:paraId="16E54FAD" w14:textId="77777777" w:rsidR="000847E5" w:rsidRPr="00A10D09" w:rsidRDefault="000847E5" w:rsidP="00086533">
      <w:pPr>
        <w:numPr>
          <w:ilvl w:val="0"/>
          <w:numId w:val="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D.Lgs. 31 dicembre 2012, n. 235, recante “Testo unico delle disposizioni in materia di incandidabilità e di divieto di ricoprire cariche elettive e di Governo conseguenti a sentenze definitive di condanna per delitti non colposi”;</w:t>
      </w:r>
    </w:p>
    <w:p w14:paraId="762E5126" w14:textId="77777777" w:rsidR="000847E5" w:rsidRPr="00A10D09" w:rsidRDefault="000847E5" w:rsidP="00086533">
      <w:pPr>
        <w:numPr>
          <w:ilvl w:val="0"/>
          <w:numId w:val="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D.Lgs. 14 marzo 2013, n. 33, recante “Riordino della disciplina riguardante gli obblighi di pubblicità, trasparenza e diffusione di informazioni da parte delle pubbliche amministrazioni”, modificato dal D.Lgs. 25 maggio 2016 n. 97;</w:t>
      </w:r>
    </w:p>
    <w:p w14:paraId="69EC1AF1" w14:textId="77777777" w:rsidR="000847E5" w:rsidRPr="00A10D09" w:rsidRDefault="000847E5" w:rsidP="00086533">
      <w:pPr>
        <w:numPr>
          <w:ilvl w:val="0"/>
          <w:numId w:val="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D.Lgs. 8 aprile 2013, n. 39, recante “Disposizioni in materia di inconferibilità e incompatibilità di incarichi presso le pubbliche amministrazioni e presso gli enti privati in controllo pubblico”;</w:t>
      </w:r>
    </w:p>
    <w:p w14:paraId="21D2706F" w14:textId="77777777" w:rsidR="000847E5" w:rsidRPr="00A10D09" w:rsidRDefault="000847E5" w:rsidP="00086533">
      <w:pPr>
        <w:numPr>
          <w:ilvl w:val="0"/>
          <w:numId w:val="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D.P.R. 16 aprile 2013, n. 62, “Regolamento recante codice di comportamento dei dipendenti pubblici a norma dell'art. 54 del D.Lgs. 30 marzo 2001, n. 165”.</w:t>
      </w:r>
    </w:p>
    <w:p w14:paraId="213026D8" w14:textId="564B2B48"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concetto di “corruzione nella p.a.” assunto dalla Legge 190 e precisato dal Piano nazionale anticorruzione (PNA) è alquanto ampio, e va ben oltre quello penalistico.</w:t>
      </w:r>
      <w:r w:rsidRPr="00A10D09">
        <w:rPr>
          <w:rFonts w:asciiTheme="minorHAnsi" w:eastAsiaTheme="minorHAnsi" w:hAnsiTheme="minorHAnsi" w:cstheme="minorHAnsi"/>
          <w:bCs/>
          <w:color w:val="auto"/>
          <w:kern w:val="0"/>
          <w:sz w:val="22"/>
          <w:szCs w:val="22"/>
          <w:vertAlign w:val="superscript"/>
          <w:lang w:eastAsia="en-US"/>
        </w:rPr>
        <w:footnoteReference w:customMarkFollows="1" w:id="1"/>
        <w:t>(*)</w:t>
      </w:r>
      <w:r w:rsidRPr="00A10D09">
        <w:rPr>
          <w:rFonts w:asciiTheme="minorHAnsi" w:eastAsiaTheme="minorHAnsi" w:hAnsiTheme="minorHAnsi" w:cstheme="minorHAnsi"/>
          <w:bCs/>
          <w:color w:val="auto"/>
          <w:kern w:val="0"/>
          <w:sz w:val="22"/>
          <w:szCs w:val="22"/>
          <w:lang w:eastAsia="en-US"/>
        </w:rPr>
        <w:t xml:space="preserve"> A livello internazionale e nazionale il </w:t>
      </w:r>
      <w:r w:rsidRPr="00A10D09">
        <w:rPr>
          <w:rFonts w:asciiTheme="minorHAnsi" w:eastAsiaTheme="minorHAnsi" w:hAnsiTheme="minorHAnsi" w:cstheme="minorHAnsi"/>
          <w:b/>
          <w:bCs/>
          <w:color w:val="auto"/>
          <w:kern w:val="0"/>
          <w:sz w:val="22"/>
          <w:szCs w:val="22"/>
          <w:lang w:eastAsia="en-US"/>
        </w:rPr>
        <w:t xml:space="preserve">fenomeno </w:t>
      </w:r>
      <w:r w:rsidRPr="00A10D09">
        <w:rPr>
          <w:rFonts w:asciiTheme="minorHAnsi" w:eastAsiaTheme="minorHAnsi" w:hAnsiTheme="minorHAnsi" w:cstheme="minorHAnsi"/>
          <w:b/>
          <w:bCs/>
          <w:color w:val="auto"/>
          <w:kern w:val="0"/>
          <w:sz w:val="22"/>
          <w:szCs w:val="22"/>
          <w:lang w:eastAsia="en-US"/>
        </w:rPr>
        <w:lastRenderedPageBreak/>
        <w:t xml:space="preserve">corruttivo in senso </w:t>
      </w:r>
      <w:r w:rsidRPr="00A10D09">
        <w:rPr>
          <w:rFonts w:asciiTheme="minorHAnsi" w:eastAsiaTheme="minorHAnsi" w:hAnsiTheme="minorHAnsi" w:cstheme="minorHAnsi"/>
          <w:bCs/>
          <w:color w:val="auto"/>
          <w:kern w:val="0"/>
          <w:sz w:val="22"/>
          <w:szCs w:val="22"/>
          <w:lang w:eastAsia="en-US"/>
        </w:rPr>
        <w:t xml:space="preserve">stretto comprende comportamenti soggettivi impropri di un pubblico funzionario che, al fine di curare un interesse proprio o un interesse particolare di terzi, assuma (o concorra all'adozione di) una decisione pubblica, deviando, in cambio di un vantaggio (economico o meno), dai propri doveri d'ufficio, cioè dalla cura imparziale dell'interesse pubblico affidatogli. </w:t>
      </w:r>
      <w:proofErr w:type="gramStart"/>
      <w:r w:rsidR="00D03B28" w:rsidRPr="00A10D09">
        <w:rPr>
          <w:rFonts w:asciiTheme="minorHAnsi" w:eastAsiaTheme="minorHAnsi" w:hAnsiTheme="minorHAnsi" w:cstheme="minorHAnsi"/>
          <w:bCs/>
          <w:color w:val="auto"/>
          <w:kern w:val="0"/>
          <w:sz w:val="22"/>
          <w:szCs w:val="22"/>
          <w:lang w:eastAsia="en-US"/>
        </w:rPr>
        <w:t>E'</w:t>
      </w:r>
      <w:proofErr w:type="gramEnd"/>
      <w:r w:rsidRPr="00A10D09">
        <w:rPr>
          <w:rFonts w:asciiTheme="minorHAnsi" w:eastAsiaTheme="minorHAnsi" w:hAnsiTheme="minorHAnsi" w:cstheme="minorHAnsi"/>
          <w:bCs/>
          <w:color w:val="auto"/>
          <w:kern w:val="0"/>
          <w:sz w:val="22"/>
          <w:szCs w:val="22"/>
          <w:lang w:eastAsia="en-US"/>
        </w:rPr>
        <w:t xml:space="preserve"> opportuno precisare che nell'ordinamento penale italiano la corruzione non coincide con i soli reati più strettamente definiti come corruttivi (articoli 317, 318, 319, 319-ter, 319-quater del codice penale), ma comprende anche reati e atti che la legge definisce </w:t>
      </w:r>
      <w:r w:rsidRPr="00A10D09">
        <w:rPr>
          <w:rFonts w:asciiTheme="minorHAnsi" w:eastAsiaTheme="minorHAnsi" w:hAnsiTheme="minorHAnsi" w:cstheme="minorHAnsi"/>
          <w:b/>
          <w:bCs/>
          <w:color w:val="auto"/>
          <w:kern w:val="0"/>
          <w:sz w:val="22"/>
          <w:szCs w:val="22"/>
          <w:lang w:eastAsia="en-US"/>
        </w:rPr>
        <w:t>"condotte di natura corruttiva"</w:t>
      </w:r>
      <w:r w:rsidRPr="00A10D09">
        <w:rPr>
          <w:rFonts w:asciiTheme="minorHAnsi" w:eastAsiaTheme="minorHAnsi" w:hAnsiTheme="minorHAnsi" w:cstheme="minorHAnsi"/>
          <w:bCs/>
          <w:color w:val="auto"/>
          <w:kern w:val="0"/>
          <w:sz w:val="22"/>
          <w:szCs w:val="22"/>
          <w:lang w:eastAsia="en-US"/>
        </w:rPr>
        <w:t>. L'ANAC, con delibera n. 215 del 2019, ha considerato come "condotte di natura corruttiva" tutte quelle indicate dall'art. 7 della legge n. 69 del 2015, che comprende tutti quelli di cui agli articoli 319-bis, 321, 322, 322-bis, 346-bis, 353 e 353-bis del codice penale.</w:t>
      </w:r>
    </w:p>
    <w:p w14:paraId="4F4F021C" w14:textId="399B24F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Negli anni successivi all’entrata in vigore della L. 190, il concetto di “corruzione nella P.A.”, nelle elaborazioni definitorie datene a livello internazionale - in particolare dalla Convenzione delle Nazioni Unite contro la corruzi</w:t>
      </w:r>
      <w:r w:rsidR="005F2641" w:rsidRPr="00A10D09">
        <w:rPr>
          <w:rFonts w:asciiTheme="minorHAnsi" w:eastAsiaTheme="minorHAnsi" w:hAnsiTheme="minorHAnsi" w:cstheme="minorHAnsi"/>
          <w:bCs/>
          <w:color w:val="auto"/>
          <w:kern w:val="0"/>
          <w:sz w:val="22"/>
          <w:szCs w:val="22"/>
          <w:lang w:eastAsia="en-US"/>
        </w:rPr>
        <w:t>o</w:t>
      </w:r>
      <w:r w:rsidRPr="00A10D09">
        <w:rPr>
          <w:rFonts w:asciiTheme="minorHAnsi" w:eastAsiaTheme="minorHAnsi" w:hAnsiTheme="minorHAnsi" w:cstheme="minorHAnsi"/>
          <w:bCs/>
          <w:color w:val="auto"/>
          <w:kern w:val="0"/>
          <w:sz w:val="22"/>
          <w:szCs w:val="22"/>
          <w:lang w:eastAsia="en-US"/>
        </w:rPr>
        <w:t xml:space="preserve">ne (UNCAC), adottata a Merida dall'Assemblea generale il 31 ottobre 2003 e ratificata dallo Stato italiano con la legge 3 agosto 2009, n. 116) - e nazionale - prima dal DFP (Dipartimento Funzione Pubblica) e poi dall’Autorità Nazionale Anticorruzione (ANAC) - ha subito un progressivo ampliamento. Nel PNA 2013, infatti, si affermava che esso è comprensivo delle varie situazioni in cui, nel corso dell'attività amministrativa, si riscontri l'abuso da parte di un soggetto del potere a lui affidato al fine di ottenere vantaggi privati; e si precisava che le situazioni rilevanti, però, sono più ampie della fattispecie penalistica, e sono tali da abbracciare non solo l'intera gamma dei delitti contro la P.A./ente pubblico (disciplinati nel Titolo II, Capo I, del c.p.), ma anche le situazioni in cui – a prescindere dalla rilevanza penale – venga in evidenza un malfunzionamento dell'amministrazione a causa dell'uso a fini privati delle funzioni attribuite o l'inquinamento dell'azione amministrativa </w:t>
      </w:r>
      <w:r w:rsidRPr="00A10D09">
        <w:rPr>
          <w:rFonts w:asciiTheme="minorHAnsi" w:eastAsiaTheme="minorHAnsi" w:hAnsiTheme="minorHAnsi" w:cstheme="minorHAnsi"/>
          <w:bCs/>
          <w:i/>
          <w:iCs/>
          <w:color w:val="auto"/>
          <w:kern w:val="0"/>
          <w:sz w:val="22"/>
          <w:szCs w:val="22"/>
          <w:lang w:eastAsia="en-US"/>
        </w:rPr>
        <w:t>ab externo</w:t>
      </w:r>
      <w:r w:rsidRPr="00A10D09">
        <w:rPr>
          <w:rFonts w:asciiTheme="minorHAnsi" w:eastAsiaTheme="minorHAnsi" w:hAnsiTheme="minorHAnsi" w:cstheme="minorHAnsi"/>
          <w:bCs/>
          <w:color w:val="auto"/>
          <w:kern w:val="0"/>
          <w:sz w:val="22"/>
          <w:szCs w:val="22"/>
          <w:lang w:eastAsia="en-US"/>
        </w:rPr>
        <w:t>, sia che tale azione abbia successo sia nel caso in cui rimanga a livello di tentativo. Si è poi successivamente specificato che vi rientrano quindi anche situazioni di “</w:t>
      </w:r>
      <w:r w:rsidRPr="00A10D09">
        <w:rPr>
          <w:rFonts w:asciiTheme="minorHAnsi" w:eastAsiaTheme="minorHAnsi" w:hAnsiTheme="minorHAnsi" w:cstheme="minorHAnsi"/>
          <w:bCs/>
          <w:i/>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nelle quali vanno compresi tutti i casi di deviazione significativa, dei comportamenti e delle decisioni, dalla cura imparziale dell'interesse pubblico, cioè le situazioni nelle quali interessi privati condizionino impropriamente l'azione delle amministrazioni o degli enti. In conclusione, va sottolineato che dagli accordi internazionali, dalle disposizioni legislative e dai PNA si evince una </w:t>
      </w:r>
      <w:r w:rsidRPr="00A10D09">
        <w:rPr>
          <w:rFonts w:asciiTheme="minorHAnsi" w:eastAsiaTheme="minorHAnsi" w:hAnsiTheme="minorHAnsi" w:cstheme="minorHAnsi"/>
          <w:b/>
          <w:bCs/>
          <w:color w:val="auto"/>
          <w:kern w:val="0"/>
          <w:sz w:val="22"/>
          <w:szCs w:val="22"/>
          <w:lang w:eastAsia="en-US"/>
        </w:rPr>
        <w:t xml:space="preserve">nozione estesa di “corruzione nella pubblica amministrazione/ente“, che va identificata con qualsiasi atto o comportamento (attivo o omissivo) contrario al principio di imparzialità nello svolgimento di attività di pubblico interesse – qual è quella svolta da un Consiglio notarile distrettuale –, fino a comprendere anche forme di </w:t>
      </w:r>
      <w:r w:rsidRPr="00A10D09">
        <w:rPr>
          <w:rFonts w:asciiTheme="minorHAnsi" w:eastAsiaTheme="minorHAnsi" w:hAnsiTheme="minorHAnsi" w:cstheme="minorHAnsi"/>
          <w:b/>
          <w:bCs/>
          <w:i/>
          <w:iCs/>
          <w:color w:val="auto"/>
          <w:kern w:val="0"/>
          <w:sz w:val="22"/>
          <w:szCs w:val="22"/>
          <w:lang w:eastAsia="en-US"/>
        </w:rPr>
        <w:t>maladministration,</w:t>
      </w:r>
      <w:r w:rsidRPr="00A10D09">
        <w:rPr>
          <w:rFonts w:asciiTheme="minorHAnsi" w:eastAsiaTheme="minorHAnsi" w:hAnsiTheme="minorHAnsi" w:cstheme="minorHAnsi"/>
          <w:b/>
          <w:bCs/>
          <w:color w:val="auto"/>
          <w:kern w:val="0"/>
          <w:sz w:val="22"/>
          <w:szCs w:val="22"/>
          <w:lang w:eastAsia="en-US"/>
        </w:rPr>
        <w:t xml:space="preserve"> termine che stigmatizza tutte quelle condotte che, semplicemente, possono incidere negativamente sul buon andamento, sull'efficienza, sulla correttezza dell'amministrazione nei rapporti con i cittadini e generare, in senso lato, un malfunzionamento. </w:t>
      </w:r>
    </w:p>
    <w:p w14:paraId="2510DD9E" w14:textId="22D935F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Legge 190/2012 impone una pianificazione di adeguate misure di prevenzione e contrasto alla “</w:t>
      </w:r>
      <w:proofErr w:type="gramStart"/>
      <w:r w:rsidRPr="00A10D09">
        <w:rPr>
          <w:rFonts w:asciiTheme="minorHAnsi" w:eastAsiaTheme="minorHAnsi" w:hAnsiTheme="minorHAnsi" w:cstheme="minorHAnsi"/>
          <w:bCs/>
          <w:color w:val="auto"/>
          <w:kern w:val="0"/>
          <w:sz w:val="22"/>
          <w:szCs w:val="22"/>
          <w:lang w:eastAsia="en-US"/>
        </w:rPr>
        <w:t>corruzione”/</w:t>
      </w:r>
      <w:proofErr w:type="gramEnd"/>
      <w:r w:rsidRPr="00A10D09">
        <w:rPr>
          <w:rFonts w:asciiTheme="minorHAnsi" w:eastAsiaTheme="minorHAnsi" w:hAnsiTheme="minorHAnsi" w:cstheme="minorHAnsi"/>
          <w:bCs/>
          <w:i/>
          <w:iCs/>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in ogni amministrazione pubblica o ente comunque obbligato, attraverso l'elaborazione di un Piano triennale di prevenzione della corruzione e della trasparenza (PTPCT), anche sulla base delle indicazion</w:t>
      </w:r>
      <w:r w:rsidR="005F2641" w:rsidRPr="00A10D09">
        <w:rPr>
          <w:rFonts w:asciiTheme="minorHAnsi" w:eastAsiaTheme="minorHAnsi" w:hAnsiTheme="minorHAnsi" w:cstheme="minorHAnsi"/>
          <w:bCs/>
          <w:color w:val="auto"/>
          <w:kern w:val="0"/>
          <w:sz w:val="22"/>
          <w:szCs w:val="22"/>
          <w:lang w:eastAsia="en-US"/>
        </w:rPr>
        <w:t>i</w:t>
      </w:r>
      <w:r w:rsidRPr="00A10D09">
        <w:rPr>
          <w:rFonts w:asciiTheme="minorHAnsi" w:eastAsiaTheme="minorHAnsi" w:hAnsiTheme="minorHAnsi" w:cstheme="minorHAnsi"/>
          <w:bCs/>
          <w:color w:val="auto"/>
          <w:kern w:val="0"/>
          <w:sz w:val="22"/>
          <w:szCs w:val="22"/>
          <w:lang w:eastAsia="en-US"/>
        </w:rPr>
        <w:t xml:space="preserve"> fornite attraverso il PNA emanato dall’ANAC. In particolare, con il PNA 2019 sono stati rivisti e consolidati in un unico atto di indirizzo tutte le indicazioni date in precedenza relativamente alla parte generale del PNA, integrandole con orientamenti maturati nel corso del tempo, fermo rimanendo che le indicazioni del PNA non dovrebbe</w:t>
      </w:r>
      <w:r w:rsidR="00E51453" w:rsidRPr="00A10D09">
        <w:rPr>
          <w:rFonts w:asciiTheme="minorHAnsi" w:eastAsiaTheme="minorHAnsi" w:hAnsiTheme="minorHAnsi" w:cstheme="minorHAnsi"/>
          <w:bCs/>
          <w:color w:val="auto"/>
          <w:kern w:val="0"/>
          <w:sz w:val="22"/>
          <w:szCs w:val="22"/>
          <w:lang w:eastAsia="en-US"/>
        </w:rPr>
        <w:t>ro</w:t>
      </w:r>
      <w:r w:rsidRPr="00A10D09">
        <w:rPr>
          <w:rFonts w:asciiTheme="minorHAnsi" w:eastAsiaTheme="minorHAnsi" w:hAnsiTheme="minorHAnsi" w:cstheme="minorHAnsi"/>
          <w:bCs/>
          <w:color w:val="auto"/>
          <w:kern w:val="0"/>
          <w:sz w:val="22"/>
          <w:szCs w:val="22"/>
          <w:lang w:eastAsia="en-US"/>
        </w:rPr>
        <w:t xml:space="preserve"> </w:t>
      </w:r>
      <w:r w:rsidR="00E51453" w:rsidRPr="00A10D09">
        <w:rPr>
          <w:rFonts w:asciiTheme="minorHAnsi" w:eastAsiaTheme="minorHAnsi" w:hAnsiTheme="minorHAnsi" w:cstheme="minorHAnsi"/>
          <w:bCs/>
          <w:color w:val="auto"/>
          <w:kern w:val="0"/>
          <w:sz w:val="22"/>
          <w:szCs w:val="22"/>
          <w:lang w:eastAsia="en-US"/>
        </w:rPr>
        <w:t xml:space="preserve">portare all'introduzione </w:t>
      </w:r>
      <w:r w:rsidRPr="00A10D09">
        <w:rPr>
          <w:rFonts w:asciiTheme="minorHAnsi" w:eastAsiaTheme="minorHAnsi" w:hAnsiTheme="minorHAnsi" w:cstheme="minorHAnsi"/>
          <w:bCs/>
          <w:color w:val="auto"/>
          <w:kern w:val="0"/>
          <w:sz w:val="22"/>
          <w:szCs w:val="22"/>
          <w:lang w:eastAsia="en-US"/>
        </w:rPr>
        <w:t xml:space="preserve">di adempimenti e controlli formali con </w:t>
      </w:r>
      <w:r w:rsidRPr="00A10D09">
        <w:rPr>
          <w:rFonts w:asciiTheme="minorHAnsi" w:eastAsiaTheme="minorHAnsi" w:hAnsiTheme="minorHAnsi" w:cstheme="minorHAnsi"/>
          <w:bCs/>
          <w:color w:val="auto"/>
          <w:kern w:val="0"/>
          <w:sz w:val="22"/>
          <w:szCs w:val="22"/>
          <w:lang w:eastAsia="en-US"/>
        </w:rPr>
        <w:lastRenderedPageBreak/>
        <w:t>conseguente aggravio burocratico, ma sono da intendere in un'ottica di ottimi</w:t>
      </w:r>
      <w:r w:rsidR="00E51453" w:rsidRPr="00A10D09">
        <w:rPr>
          <w:rFonts w:asciiTheme="minorHAnsi" w:eastAsiaTheme="minorHAnsi" w:hAnsiTheme="minorHAnsi" w:cstheme="minorHAnsi"/>
          <w:bCs/>
          <w:color w:val="auto"/>
          <w:kern w:val="0"/>
          <w:sz w:val="22"/>
          <w:szCs w:val="22"/>
          <w:lang w:eastAsia="en-US"/>
        </w:rPr>
        <w:t>z</w:t>
      </w:r>
      <w:r w:rsidRPr="00A10D09">
        <w:rPr>
          <w:rFonts w:asciiTheme="minorHAnsi" w:eastAsiaTheme="minorHAnsi" w:hAnsiTheme="minorHAnsi" w:cstheme="minorHAnsi"/>
          <w:bCs/>
          <w:color w:val="auto"/>
          <w:kern w:val="0"/>
          <w:sz w:val="22"/>
          <w:szCs w:val="22"/>
          <w:lang w:eastAsia="en-US"/>
        </w:rPr>
        <w:t>zazione e maggior</w:t>
      </w:r>
      <w:r w:rsidR="00E51453" w:rsidRPr="00A10D09">
        <w:rPr>
          <w:rFonts w:asciiTheme="minorHAnsi" w:eastAsiaTheme="minorHAnsi" w:hAnsiTheme="minorHAnsi" w:cstheme="minorHAnsi"/>
          <w:bCs/>
          <w:color w:val="auto"/>
          <w:kern w:val="0"/>
          <w:sz w:val="22"/>
          <w:szCs w:val="22"/>
          <w:lang w:eastAsia="en-US"/>
        </w:rPr>
        <w:t>e</w:t>
      </w:r>
      <w:r w:rsidRPr="00A10D09">
        <w:rPr>
          <w:rFonts w:asciiTheme="minorHAnsi" w:eastAsiaTheme="minorHAnsi" w:hAnsiTheme="minorHAnsi" w:cstheme="minorHAnsi"/>
          <w:bCs/>
          <w:color w:val="auto"/>
          <w:kern w:val="0"/>
          <w:sz w:val="22"/>
          <w:szCs w:val="22"/>
          <w:lang w:eastAsia="en-US"/>
        </w:rPr>
        <w:t xml:space="preserve"> razionalizzazione dell'organizzazione e dell'attività delle amministrazioni.</w:t>
      </w:r>
    </w:p>
    <w:p w14:paraId="1312AA07" w14:textId="1AD86BEE"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PTPCT ha la finalità di identificare le misure organizzative volte a contenere il rischio di assunzione di decisioni non imparziali e rappresenta per ciascun ente il documento fondamentale per la definizione della strategia di prevenzione della corruzione</w:t>
      </w:r>
      <w:r w:rsidR="00E51453" w:rsidRPr="00A10D09">
        <w:rPr>
          <w:rFonts w:asciiTheme="minorHAnsi" w:eastAsiaTheme="minorHAnsi" w:hAnsiTheme="minorHAnsi" w:cstheme="minorHAnsi"/>
          <w:bCs/>
          <w:color w:val="auto"/>
          <w:kern w:val="0"/>
          <w:sz w:val="22"/>
          <w:szCs w:val="22"/>
          <w:lang w:eastAsia="en-US"/>
        </w:rPr>
        <w:t>. C</w:t>
      </w:r>
      <w:r w:rsidRPr="00A10D09">
        <w:rPr>
          <w:rFonts w:asciiTheme="minorHAnsi" w:eastAsiaTheme="minorHAnsi" w:hAnsiTheme="minorHAnsi" w:cstheme="minorHAnsi"/>
          <w:bCs/>
          <w:color w:val="auto"/>
          <w:kern w:val="0"/>
          <w:sz w:val="22"/>
          <w:szCs w:val="22"/>
          <w:lang w:eastAsia="en-US"/>
        </w:rPr>
        <w:t xml:space="preserve">onsiste in una pianificazione di attività, cioè di misure di prevenzione del rischio operativo di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dei processi organizzativi dell’ente, misure</w:t>
      </w:r>
      <w:r w:rsidRPr="00A10D09">
        <w:rPr>
          <w:rFonts w:asciiTheme="minorHAnsi" w:eastAsiaTheme="minorHAnsi" w:hAnsiTheme="minorHAnsi" w:cstheme="minorHAnsi"/>
          <w:bCs/>
          <w:i/>
          <w:iCs/>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 xml:space="preserve">di natura prevalentemente organizzativa. Tale pianificazione richiede una fondamentale fase preliminare di analisi che, in sintesi, consiste nell'esaminare sia l'organizzazione che soprattutto le competenze dell'ente (le sue regole e le sue prassi di funzionamento), in termini di “possibile esposizione” al fenomeno di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 xml:space="preserve">(è l’analisi del rischio operativo). Tale funzione programmatica del PTPCT ha assunto un valore ancora più incisivo a seguito delle novità introdotte dal D.Lgs. 97/2016, dovendo esso necessariamente prevedere gli obiettivi strategici sia di trasparenza che degli altri strumenti di prevenzione della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che vanno fissati dall’organo di indirizzo (che nel caso del CND di Bolzano è il Consiglio): l’elaborazione del PTPCT presuppone, dunque, oggi, il più diretto coinvolgimento (</w:t>
      </w:r>
      <w:r w:rsidR="00E51453" w:rsidRPr="00A10D09">
        <w:rPr>
          <w:rFonts w:asciiTheme="minorHAnsi" w:eastAsiaTheme="minorHAnsi" w:hAnsiTheme="minorHAnsi" w:cstheme="minorHAnsi"/>
          <w:bCs/>
          <w:color w:val="auto"/>
          <w:kern w:val="0"/>
          <w:sz w:val="22"/>
          <w:szCs w:val="22"/>
          <w:lang w:eastAsia="en-US"/>
        </w:rPr>
        <w:t xml:space="preserve">con conseguente </w:t>
      </w:r>
      <w:r w:rsidRPr="00A10D09">
        <w:rPr>
          <w:rFonts w:asciiTheme="minorHAnsi" w:eastAsiaTheme="minorHAnsi" w:hAnsiTheme="minorHAnsi" w:cstheme="minorHAnsi"/>
          <w:bCs/>
          <w:color w:val="auto"/>
          <w:kern w:val="0"/>
          <w:sz w:val="22"/>
          <w:szCs w:val="22"/>
          <w:lang w:eastAsia="en-US"/>
        </w:rPr>
        <w:t>responsabilità) del Consiglio in ordine alla determinazione delle finalità da perseguire per la prevenzione della corruzione.</w:t>
      </w:r>
    </w:p>
    <w:p w14:paraId="4E1187C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Basandosi sull'analisi del contesto interno ed esterno e dei processi organizzativi di competenza dell'ente – analisi che richiede l'individuazione del livello di rischio dei singoli processi o loro fasi, individuato in relazione a vari fattori, tra cui anche la maggiore o minore discrezionalità del processo o fase – il PTPCT pianifica misure da implementare per la prevenzione, partendo dai processi valutati a maggior rischio.</w:t>
      </w:r>
    </w:p>
    <w:p w14:paraId="1193218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Negli aggiornamenti quantomeno annuali al PTPCT, fondamentale diviene, poi, l'accertamento/monitoraggio circa l'applicazione della misura e, soprattutto, circa l'efficacia della misura scelta, e da quest'ultima analisi discende l'eventuale aggiustamento/implementazione del piano.</w:t>
      </w:r>
    </w:p>
    <w:p w14:paraId="547A2D6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PTPCT contiene:</w:t>
      </w:r>
    </w:p>
    <w:p w14:paraId="6E2BCD4F"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l'analisi del contesto esterno e interno;</w:t>
      </w:r>
    </w:p>
    <w:p w14:paraId="21703F32"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mappatura dei processi;</w:t>
      </w:r>
    </w:p>
    <w:p w14:paraId="6A351F6D"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dei processi (o loro fasi) a rischio corruttivo e la valutazione dei rischi;</w:t>
      </w:r>
    </w:p>
    <w:p w14:paraId="130396A1"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per ogni processo degli interventi per ridurre i rischi (le c.d. misure di trattamento specifiche);</w:t>
      </w:r>
    </w:p>
    <w:p w14:paraId="0BB665E6"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programmazione delle iniziative di formazione;</w:t>
      </w:r>
    </w:p>
    <w:p w14:paraId="6F6FE000"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dei soggetti tenuti a relazionare al Responsabile della prevenzione;</w:t>
      </w:r>
    </w:p>
    <w:p w14:paraId="31F149BA"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programmazione del monitoraggio e aggiornamento del Piano stesso;</w:t>
      </w:r>
    </w:p>
    <w:p w14:paraId="10A62370"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delle modalità e dei tempi di attuazione delle altre misure generali (di carattere trasversale) previste dalla Legge 190/2012 e dai suoi decreti attuativi;</w:t>
      </w:r>
    </w:p>
    <w:p w14:paraId="50AA425F"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delle misure di trasparenza.</w:t>
      </w:r>
    </w:p>
    <w:p w14:paraId="2EC129AE" w14:textId="153F0610"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Il soggetto deputato alla predisposizione, </w:t>
      </w:r>
      <w:r w:rsidR="00E51453" w:rsidRPr="00A10D09">
        <w:rPr>
          <w:rFonts w:asciiTheme="minorHAnsi" w:eastAsiaTheme="minorHAnsi" w:hAnsiTheme="minorHAnsi" w:cstheme="minorHAnsi"/>
          <w:bCs/>
          <w:color w:val="auto"/>
          <w:kern w:val="0"/>
          <w:sz w:val="22"/>
          <w:szCs w:val="22"/>
          <w:lang w:eastAsia="en-US"/>
        </w:rPr>
        <w:t xml:space="preserve">al </w:t>
      </w:r>
      <w:r w:rsidRPr="00A10D09">
        <w:rPr>
          <w:rFonts w:asciiTheme="minorHAnsi" w:eastAsiaTheme="minorHAnsi" w:hAnsiTheme="minorHAnsi" w:cstheme="minorHAnsi"/>
          <w:bCs/>
          <w:color w:val="auto"/>
          <w:kern w:val="0"/>
          <w:sz w:val="22"/>
          <w:szCs w:val="22"/>
          <w:lang w:eastAsia="en-US"/>
        </w:rPr>
        <w:t xml:space="preserve">monitoraggio e </w:t>
      </w:r>
      <w:r w:rsidR="00E51453" w:rsidRPr="00A10D09">
        <w:rPr>
          <w:rFonts w:asciiTheme="minorHAnsi" w:eastAsiaTheme="minorHAnsi" w:hAnsiTheme="minorHAnsi" w:cstheme="minorHAnsi"/>
          <w:bCs/>
          <w:color w:val="auto"/>
          <w:kern w:val="0"/>
          <w:sz w:val="22"/>
          <w:szCs w:val="22"/>
          <w:lang w:eastAsia="en-US"/>
        </w:rPr>
        <w:t>all'</w:t>
      </w:r>
      <w:r w:rsidRPr="00A10D09">
        <w:rPr>
          <w:rFonts w:asciiTheme="minorHAnsi" w:eastAsiaTheme="minorHAnsi" w:hAnsiTheme="minorHAnsi" w:cstheme="minorHAnsi"/>
          <w:bCs/>
          <w:color w:val="auto"/>
          <w:kern w:val="0"/>
          <w:sz w:val="22"/>
          <w:szCs w:val="22"/>
          <w:lang w:eastAsia="en-US"/>
        </w:rPr>
        <w:t xml:space="preserve">aggiornamento del piano è </w:t>
      </w:r>
      <w:r w:rsidR="00E51453" w:rsidRPr="00A10D09">
        <w:rPr>
          <w:rFonts w:asciiTheme="minorHAnsi" w:eastAsiaTheme="minorHAnsi" w:hAnsiTheme="minorHAnsi" w:cstheme="minorHAnsi"/>
          <w:bCs/>
          <w:color w:val="auto"/>
          <w:kern w:val="0"/>
          <w:sz w:val="22"/>
          <w:szCs w:val="22"/>
          <w:lang w:eastAsia="en-US"/>
        </w:rPr>
        <w:t xml:space="preserve">in primo luogo </w:t>
      </w:r>
      <w:r w:rsidRPr="00A10D09">
        <w:rPr>
          <w:rFonts w:asciiTheme="minorHAnsi" w:eastAsiaTheme="minorHAnsi" w:hAnsiTheme="minorHAnsi" w:cstheme="minorHAnsi"/>
          <w:bCs/>
          <w:color w:val="auto"/>
          <w:kern w:val="0"/>
          <w:sz w:val="22"/>
          <w:szCs w:val="22"/>
          <w:lang w:eastAsia="en-US"/>
        </w:rPr>
        <w:t>il Responsabile della prevenzione della corruzione e della trasparenza (RPCT).</w:t>
      </w:r>
    </w:p>
    <w:p w14:paraId="4368B2A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29AA49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 w:name="__RefHeading___Toc3488_539215896"/>
      <w:bookmarkEnd w:id="2"/>
      <w:r w:rsidRPr="00A10D09">
        <w:rPr>
          <w:rFonts w:asciiTheme="minorHAnsi" w:eastAsiaTheme="minorHAnsi" w:hAnsiTheme="minorHAnsi" w:cstheme="minorHAnsi"/>
          <w:b/>
          <w:bCs/>
          <w:color w:val="auto"/>
          <w:kern w:val="0"/>
          <w:sz w:val="22"/>
          <w:szCs w:val="22"/>
          <w:lang w:eastAsia="en-US"/>
        </w:rPr>
        <w:lastRenderedPageBreak/>
        <w:t>1.2. Ambito soggettivo: l'applicazione della Legge 190/2012 agli ordini professionali e ai Consigli Notarili Distrettuali</w:t>
      </w:r>
    </w:p>
    <w:p w14:paraId="21A8C1E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D.Lgs. 97/2016 ha posto fine all’incertezza circa l’applicabilità della normativa in materia di trasparenza e di prevenzione della corruzione agli ordini professionali.</w:t>
      </w:r>
    </w:p>
    <w:p w14:paraId="622338E5" w14:textId="5BD61E0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Già prima dell’emanazione del citato decreto, il Consiglio Notarile Distrettuale (CND) di Bolzano, nel prendere atto dell’orientamento espresso dall’ANAC nei suoi atti, aveva proceduto, con delibera del 10</w:t>
      </w:r>
      <w:r w:rsidR="002A34D9" w:rsidRPr="00A10D09">
        <w:rPr>
          <w:rFonts w:asciiTheme="minorHAnsi" w:eastAsiaTheme="minorHAnsi" w:hAnsiTheme="minorHAnsi" w:cstheme="minorHAnsi"/>
          <w:bCs/>
          <w:color w:val="auto"/>
          <w:kern w:val="0"/>
          <w:sz w:val="22"/>
          <w:szCs w:val="22"/>
          <w:lang w:eastAsia="en-US"/>
        </w:rPr>
        <w:t xml:space="preserve"> dicembre </w:t>
      </w:r>
      <w:r w:rsidRPr="00A10D09">
        <w:rPr>
          <w:rFonts w:asciiTheme="minorHAnsi" w:eastAsiaTheme="minorHAnsi" w:hAnsiTheme="minorHAnsi" w:cstheme="minorHAnsi"/>
          <w:bCs/>
          <w:color w:val="auto"/>
          <w:kern w:val="0"/>
          <w:sz w:val="22"/>
          <w:szCs w:val="22"/>
          <w:lang w:eastAsia="en-US"/>
        </w:rPr>
        <w:t>2015, alla nomina di un proprio Responsabile della prevenzione della corruzione e all’avvio delle attività correlate agli adempimenti in materia e, nonostante le molteplici difficoltà di ordine applicativo, aveva adottato con delibera del 28</w:t>
      </w:r>
      <w:r w:rsidR="002A34D9" w:rsidRPr="00A10D09">
        <w:rPr>
          <w:rFonts w:asciiTheme="minorHAnsi" w:eastAsiaTheme="minorHAnsi" w:hAnsiTheme="minorHAnsi" w:cstheme="minorHAnsi"/>
          <w:bCs/>
          <w:color w:val="auto"/>
          <w:kern w:val="0"/>
          <w:sz w:val="22"/>
          <w:szCs w:val="22"/>
          <w:lang w:eastAsia="en-US"/>
        </w:rPr>
        <w:t xml:space="preserve"> gennaio </w:t>
      </w:r>
      <w:r w:rsidRPr="00A10D09">
        <w:rPr>
          <w:rFonts w:asciiTheme="minorHAnsi" w:eastAsiaTheme="minorHAnsi" w:hAnsiTheme="minorHAnsi" w:cstheme="minorHAnsi"/>
          <w:bCs/>
          <w:color w:val="auto"/>
          <w:kern w:val="0"/>
          <w:sz w:val="22"/>
          <w:szCs w:val="22"/>
          <w:lang w:eastAsia="en-US"/>
        </w:rPr>
        <w:t>2016 un proprio PTPC per il triennio 2016-2018.</w:t>
      </w:r>
    </w:p>
    <w:p w14:paraId="7C4A86B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Successivamente, con l’entrata in vigore del D.Lgs. 97/2016, si è resa espressamente applicabile agli ordini professionali – e dunque ai Consigli Notarili Distrettuali – la disciplina prevista dalla Legge 190/2012 sulle misure di prevenzione della corruzione. Con particolare riguardo alla trasparenza, il nuovo art. 2-bis, secondo comma, del D.Lgs. 33/2013 precisa che la medesima disciplina prevista per le pubbliche amministrazioni si applica anche agli ordini professionali, “in quanto compatibile”.</w:t>
      </w:r>
    </w:p>
    <w:p w14:paraId="521E753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5849A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3" w:name="__RefHeading___Toc3496_539215896"/>
      <w:bookmarkEnd w:id="3"/>
      <w:r w:rsidRPr="00A10D09">
        <w:rPr>
          <w:rFonts w:asciiTheme="minorHAnsi" w:eastAsiaTheme="minorHAnsi" w:hAnsiTheme="minorHAnsi" w:cstheme="minorHAnsi"/>
          <w:b/>
          <w:bCs/>
          <w:color w:val="auto"/>
          <w:kern w:val="0"/>
          <w:sz w:val="22"/>
          <w:szCs w:val="22"/>
          <w:lang w:eastAsia="en-US"/>
        </w:rPr>
        <w:t>1.3. Metodologia utilizzata per la redazione del PTPCT</w:t>
      </w:r>
    </w:p>
    <w:p w14:paraId="7B36448F" w14:textId="584E5CF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la gestione dei rischi corruttivi, la Legge 190/2012 e la relativa normativa di attuazione </w:t>
      </w:r>
      <w:r w:rsidR="002A34D9" w:rsidRPr="00A10D09">
        <w:rPr>
          <w:rFonts w:asciiTheme="minorHAnsi" w:eastAsiaTheme="minorHAnsi" w:hAnsiTheme="minorHAnsi" w:cstheme="minorHAnsi"/>
          <w:bCs/>
          <w:color w:val="auto"/>
          <w:kern w:val="0"/>
          <w:sz w:val="22"/>
          <w:szCs w:val="22"/>
          <w:lang w:eastAsia="en-US"/>
        </w:rPr>
        <w:t xml:space="preserve">prevedono </w:t>
      </w:r>
      <w:r w:rsidRPr="00A10D09">
        <w:rPr>
          <w:rFonts w:asciiTheme="minorHAnsi" w:eastAsiaTheme="minorHAnsi" w:hAnsiTheme="minorHAnsi" w:cstheme="minorHAnsi"/>
          <w:bCs/>
          <w:color w:val="auto"/>
          <w:kern w:val="0"/>
          <w:sz w:val="22"/>
          <w:szCs w:val="22"/>
          <w:lang w:eastAsia="en-US"/>
        </w:rPr>
        <w:t xml:space="preserve">la pianificazione di misure generali (definite anche “obbligatorie” in quanto fissate dalla legge e dal PNA) e specifiche di trattamento del rischio, previa analisi e mappatura dei processi nonché identificazione e valutazione del rischio. I PNA ne disciplinano i dettagli e forniscono indicazioni metodologiche concrete da seguire, che sono state da ultimo riviste e consolidate nel PNA 2019 e nel relativo Allegato 1. </w:t>
      </w:r>
    </w:p>
    <w:p w14:paraId="6BF12359" w14:textId="2F243E8F"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Di conseguenza, nella redazione del PTPCT, il CND, nei limiti </w:t>
      </w:r>
      <w:r w:rsidR="0083150C" w:rsidRPr="00A10D09">
        <w:rPr>
          <w:rFonts w:asciiTheme="minorHAnsi" w:eastAsiaTheme="minorHAnsi" w:hAnsiTheme="minorHAnsi" w:cstheme="minorHAnsi"/>
          <w:bCs/>
          <w:color w:val="auto"/>
          <w:kern w:val="0"/>
          <w:sz w:val="22"/>
          <w:szCs w:val="22"/>
          <w:lang w:eastAsia="en-US"/>
        </w:rPr>
        <w:t xml:space="preserve">della </w:t>
      </w:r>
      <w:r w:rsidRPr="00A10D09">
        <w:rPr>
          <w:rFonts w:asciiTheme="minorHAnsi" w:eastAsiaTheme="minorHAnsi" w:hAnsiTheme="minorHAnsi" w:cstheme="minorHAnsi"/>
          <w:bCs/>
          <w:color w:val="auto"/>
          <w:kern w:val="0"/>
          <w:sz w:val="22"/>
          <w:szCs w:val="22"/>
          <w:lang w:eastAsia="en-US"/>
        </w:rPr>
        <w:t xml:space="preserve">compatibilità con la propria struttura, </w:t>
      </w:r>
      <w:r w:rsidR="0083150C" w:rsidRPr="00A10D09">
        <w:rPr>
          <w:rFonts w:asciiTheme="minorHAnsi" w:eastAsiaTheme="minorHAnsi" w:hAnsiTheme="minorHAnsi" w:cstheme="minorHAnsi"/>
          <w:bCs/>
          <w:color w:val="auto"/>
          <w:kern w:val="0"/>
          <w:sz w:val="22"/>
          <w:szCs w:val="22"/>
          <w:lang w:eastAsia="en-US"/>
        </w:rPr>
        <w:t xml:space="preserve">le proprie </w:t>
      </w:r>
      <w:r w:rsidRPr="00A10D09">
        <w:rPr>
          <w:rFonts w:asciiTheme="minorHAnsi" w:eastAsiaTheme="minorHAnsi" w:hAnsiTheme="minorHAnsi" w:cstheme="minorHAnsi"/>
          <w:bCs/>
          <w:color w:val="auto"/>
          <w:kern w:val="0"/>
          <w:sz w:val="22"/>
          <w:szCs w:val="22"/>
          <w:lang w:eastAsia="en-US"/>
        </w:rPr>
        <w:t>dimension</w:t>
      </w:r>
      <w:r w:rsidR="0083150C" w:rsidRPr="00A10D09">
        <w:rPr>
          <w:rFonts w:asciiTheme="minorHAnsi" w:eastAsiaTheme="minorHAnsi" w:hAnsiTheme="minorHAnsi" w:cstheme="minorHAnsi"/>
          <w:bCs/>
          <w:color w:val="auto"/>
          <w:kern w:val="0"/>
          <w:sz w:val="22"/>
          <w:szCs w:val="22"/>
          <w:lang w:eastAsia="en-US"/>
        </w:rPr>
        <w:t xml:space="preserve">i </w:t>
      </w:r>
      <w:r w:rsidRPr="00A10D09">
        <w:rPr>
          <w:rFonts w:asciiTheme="minorHAnsi" w:eastAsiaTheme="minorHAnsi" w:hAnsiTheme="minorHAnsi" w:cstheme="minorHAnsi"/>
          <w:bCs/>
          <w:color w:val="auto"/>
          <w:kern w:val="0"/>
          <w:sz w:val="22"/>
          <w:szCs w:val="22"/>
          <w:lang w:eastAsia="en-US"/>
        </w:rPr>
        <w:t>e risorse, ha cercato di tenere conto dei principi strategici (coinvolgimento dell'organo di indirizzo; cultura organizzativa diffusa di gestione del rischio; collaborazione tra amministrazioni), metodologici (prevalenza della sostanza sulla forma; gradualità; selettività; integrazione; miglioramento e apprendimento continuo) e finalistici (effettività; orizzonte del valore pubblico) precisati nel PNA.</w:t>
      </w:r>
    </w:p>
    <w:p w14:paraId="1CE601D9" w14:textId="5F001181"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Si è cercato di coinvolgere il più possibile tutta la struttura del CND, ossia l'organo di indirizzo (i nove componenti del Consiglio notarile) e la Segreteria (le due dipendenti), in tutte le fasi della gestione del rischio (ossia nelle fasi dell'analisi del contesto e dei processi, della valutazione del rischio, del trattamento del rischio nonché del monitoraggio). Nell'ultimo periodo, le misure restrittive collegate alla situazione di emergenza sanitaria da Covid-19 non hanno certo facilitato tale processo, che ha avuto luogo "a distanza" mediante l'utilizzo di mezzi di comunicazione elettronica. Pertanto, le fasi di analisi del contesto e mappatura dei processi, valutazione degli eventi rischiosi, elaborazione delle misure </w:t>
      </w:r>
      <w:r w:rsidR="0083150C" w:rsidRPr="00A10D09">
        <w:rPr>
          <w:rFonts w:asciiTheme="minorHAnsi" w:eastAsiaTheme="minorHAnsi" w:hAnsiTheme="minorHAnsi" w:cstheme="minorHAnsi"/>
          <w:bCs/>
          <w:color w:val="auto"/>
          <w:kern w:val="0"/>
          <w:sz w:val="22"/>
          <w:szCs w:val="22"/>
          <w:lang w:eastAsia="en-US"/>
        </w:rPr>
        <w:t xml:space="preserve">specifiche </w:t>
      </w:r>
      <w:r w:rsidRPr="00A10D09">
        <w:rPr>
          <w:rFonts w:asciiTheme="minorHAnsi" w:eastAsiaTheme="minorHAnsi" w:hAnsiTheme="minorHAnsi" w:cstheme="minorHAnsi"/>
          <w:bCs/>
          <w:color w:val="auto"/>
          <w:kern w:val="0"/>
          <w:sz w:val="22"/>
          <w:szCs w:val="22"/>
          <w:lang w:eastAsia="en-US"/>
        </w:rPr>
        <w:t>di trattamento del rischio e programmazione della loro applicazione e del loro monitoraggio nonché della stesura stessa del presente PTPCT sono state affrontate coinvolgendo l'intera struttura del CND. In particolare, le relative schede sono state predisposte da parte del RPCT in forma digitale, trasmesse ai componenti del Consiglio notarile e della Segreteria via e-mail, che hanno quindi avuto modo di collaborare all'elaborazione del PTPCT e degli allegati, di esaminare la documentazione e formulare le loro osservazioni. Ciò in ossequio al metodo della compartecipazione e della condivisione che è stato seguito, sin dall'inizio, in ogni attività finalizzata al rispetto della normativa in materia di anticorruzione e trasparenza.</w:t>
      </w:r>
    </w:p>
    <w:p w14:paraId="3EE1A6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 xml:space="preserve">Secondo l'ANAC, il processo di gestione del rischio di corruzione si articola in tre macro-fasi, ossia la fase dell'analisi del contesto, la fase della valutazione del rischio e la fase del trattamento del rischio. </w:t>
      </w:r>
    </w:p>
    <w:p w14:paraId="71C4AB5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poter utilmente definire le misure di gestione e trattamento del rischio, è indispensabile preventivamente </w:t>
      </w:r>
      <w:r w:rsidRPr="00A10D09">
        <w:rPr>
          <w:rFonts w:asciiTheme="minorHAnsi" w:eastAsiaTheme="minorHAnsi" w:hAnsiTheme="minorHAnsi" w:cstheme="minorHAnsi"/>
          <w:b/>
          <w:bCs/>
          <w:color w:val="auto"/>
          <w:kern w:val="0"/>
          <w:sz w:val="22"/>
          <w:szCs w:val="22"/>
          <w:u w:val="single"/>
          <w:lang w:eastAsia="en-US"/>
        </w:rPr>
        <w:t xml:space="preserve">analizzare il contesto </w:t>
      </w:r>
      <w:r w:rsidRPr="00A10D09">
        <w:rPr>
          <w:rFonts w:asciiTheme="minorHAnsi" w:eastAsiaTheme="minorHAnsi" w:hAnsiTheme="minorHAnsi" w:cstheme="minorHAnsi"/>
          <w:bCs/>
          <w:color w:val="auto"/>
          <w:kern w:val="0"/>
          <w:sz w:val="22"/>
          <w:szCs w:val="22"/>
          <w:lang w:eastAsia="en-US"/>
        </w:rPr>
        <w:t xml:space="preserve">sia esterno che interno dell'ente e definire i processi, appunto, che ne caratterizzano il funzionamento, individuando i possibili rischi operativi di </w:t>
      </w:r>
      <w:r w:rsidRPr="00A10D09">
        <w:rPr>
          <w:rFonts w:asciiTheme="minorHAnsi" w:eastAsiaTheme="minorHAnsi" w:hAnsiTheme="minorHAnsi" w:cstheme="minorHAnsi"/>
          <w:bCs/>
          <w:i/>
          <w:iCs/>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tenendo presente l'ampia nozione di </w:t>
      </w:r>
      <w:r w:rsidRPr="00A10D09">
        <w:rPr>
          <w:rFonts w:asciiTheme="minorHAnsi" w:eastAsiaTheme="minorHAnsi" w:hAnsiTheme="minorHAnsi" w:cstheme="minorHAnsi"/>
          <w:bCs/>
          <w:i/>
          <w:color w:val="auto"/>
          <w:kern w:val="0"/>
          <w:sz w:val="22"/>
          <w:szCs w:val="22"/>
          <w:lang w:eastAsia="en-US"/>
        </w:rPr>
        <w:t>corruzione</w:t>
      </w:r>
      <w:r w:rsidRPr="00A10D09">
        <w:rPr>
          <w:rFonts w:asciiTheme="minorHAnsi" w:eastAsiaTheme="minorHAnsi" w:hAnsiTheme="minorHAnsi" w:cstheme="minorHAnsi"/>
          <w:bCs/>
          <w:color w:val="auto"/>
          <w:kern w:val="0"/>
          <w:sz w:val="22"/>
          <w:szCs w:val="22"/>
          <w:lang w:eastAsia="en-US"/>
        </w:rPr>
        <w:t xml:space="preserve"> declinata nel PNA.</w:t>
      </w:r>
    </w:p>
    <w:p w14:paraId="20EF118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 fine di adottare una razionale pianificazione di prevenzione della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 xml:space="preserve">è necessario, dunque, procedere a una adeguata </w:t>
      </w:r>
      <w:r w:rsidRPr="00A10D09">
        <w:rPr>
          <w:rFonts w:asciiTheme="minorHAnsi" w:eastAsiaTheme="minorHAnsi" w:hAnsiTheme="minorHAnsi" w:cstheme="minorHAnsi"/>
          <w:b/>
          <w:bCs/>
          <w:i/>
          <w:color w:val="auto"/>
          <w:kern w:val="0"/>
          <w:sz w:val="22"/>
          <w:szCs w:val="22"/>
          <w:u w:val="single"/>
          <w:lang w:eastAsia="en-US"/>
        </w:rPr>
        <w:t>mappatura dei processi</w:t>
      </w:r>
      <w:r w:rsidRPr="00A10D09">
        <w:rPr>
          <w:rFonts w:asciiTheme="minorHAnsi" w:eastAsiaTheme="minorHAnsi" w:hAnsiTheme="minorHAnsi" w:cstheme="minorHAnsi"/>
          <w:bCs/>
          <w:color w:val="auto"/>
          <w:kern w:val="0"/>
          <w:sz w:val="22"/>
          <w:szCs w:val="22"/>
          <w:lang w:eastAsia="en-US"/>
        </w:rPr>
        <w:t>. Tale mappatura consente l'individuazione del contesto entro cui deve essere sviluppata la valutazione del rischio. La fase di analisi del contesto e mappatura dei processi è descritta più dettagliatamente al successivo punto 2.</w:t>
      </w:r>
    </w:p>
    <w:p w14:paraId="0E808D4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Alla mappatura dei processi consegue la </w:t>
      </w:r>
      <w:r w:rsidRPr="00A10D09">
        <w:rPr>
          <w:rFonts w:asciiTheme="minorHAnsi" w:eastAsiaTheme="minorHAnsi" w:hAnsiTheme="minorHAnsi" w:cstheme="minorHAnsi"/>
          <w:b/>
          <w:bCs/>
          <w:color w:val="auto"/>
          <w:kern w:val="0"/>
          <w:sz w:val="22"/>
          <w:szCs w:val="22"/>
          <w:u w:val="single"/>
          <w:lang w:eastAsia="en-US"/>
        </w:rPr>
        <w:t>valutazione del rischio</w:t>
      </w:r>
      <w:r w:rsidRPr="00A10D09">
        <w:rPr>
          <w:rFonts w:asciiTheme="minorHAnsi" w:eastAsiaTheme="minorHAnsi" w:hAnsiTheme="minorHAnsi" w:cstheme="minorHAnsi"/>
          <w:bCs/>
          <w:color w:val="auto"/>
          <w:kern w:val="0"/>
          <w:sz w:val="22"/>
          <w:szCs w:val="22"/>
          <w:lang w:eastAsia="en-US"/>
        </w:rPr>
        <w:t>, che consiste nella ricerca, identificazione, analisi e ponderazione degli eventi rischiosi operativi ipotetici. Tale fase è descritta al successivo punto 3.</w:t>
      </w:r>
    </w:p>
    <w:p w14:paraId="74B80AAB" w14:textId="205555A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Alla fase di valutazione del rischio fa, quindi, seguito il </w:t>
      </w:r>
      <w:r w:rsidRPr="00A10D09">
        <w:rPr>
          <w:rFonts w:asciiTheme="minorHAnsi" w:eastAsiaTheme="minorHAnsi" w:hAnsiTheme="minorHAnsi" w:cstheme="minorHAnsi"/>
          <w:b/>
          <w:bCs/>
          <w:color w:val="auto"/>
          <w:kern w:val="0"/>
          <w:sz w:val="22"/>
          <w:szCs w:val="22"/>
          <w:u w:val="single"/>
          <w:lang w:eastAsia="en-US"/>
        </w:rPr>
        <w:t>trattamento del rischio</w:t>
      </w:r>
      <w:r w:rsidRPr="00A10D09">
        <w:rPr>
          <w:rFonts w:asciiTheme="minorHAnsi" w:eastAsiaTheme="minorHAnsi" w:hAnsiTheme="minorHAnsi" w:cstheme="minorHAnsi"/>
          <w:bCs/>
          <w:color w:val="auto"/>
          <w:kern w:val="0"/>
          <w:sz w:val="22"/>
          <w:szCs w:val="22"/>
          <w:lang w:eastAsia="en-US"/>
        </w:rPr>
        <w:t xml:space="preserve">, che comprende l'identificazione e la programmazione delle misure di trattamento del rischio, ossia l'insieme delle attività coordinate per ridurre le probabilità che un dato rischio si verifichi e il grado di impatto che il verificarsi del rischio potrebbe avere sull'organizzazione e </w:t>
      </w:r>
      <w:r w:rsidR="006D02C9" w:rsidRPr="00A10D09">
        <w:rPr>
          <w:rFonts w:asciiTheme="minorHAnsi" w:eastAsiaTheme="minorHAnsi" w:hAnsiTheme="minorHAnsi" w:cstheme="minorHAnsi"/>
          <w:bCs/>
          <w:color w:val="auto"/>
          <w:kern w:val="0"/>
          <w:sz w:val="22"/>
          <w:szCs w:val="22"/>
          <w:lang w:eastAsia="en-US"/>
        </w:rPr>
        <w:t xml:space="preserve">sul </w:t>
      </w:r>
      <w:r w:rsidRPr="00A10D09">
        <w:rPr>
          <w:rFonts w:asciiTheme="minorHAnsi" w:eastAsiaTheme="minorHAnsi" w:hAnsiTheme="minorHAnsi" w:cstheme="minorHAnsi"/>
          <w:bCs/>
          <w:color w:val="auto"/>
          <w:kern w:val="0"/>
          <w:sz w:val="22"/>
          <w:szCs w:val="22"/>
          <w:lang w:eastAsia="en-US"/>
        </w:rPr>
        <w:t>funzionamento dell'ente. Tale fase è descritta al successivo punto 4.</w:t>
      </w:r>
    </w:p>
    <w:p w14:paraId="537E3F5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prodotto finale del lavoro di analisi del contesto, mappatura dei processi, valutazione del rischio e trattamento del rischio è riassunto nei fondamentali allegati "A", "B" e "C".</w:t>
      </w:r>
    </w:p>
    <w:p w14:paraId="54A25B72" w14:textId="739B1447" w:rsidR="005D6923"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alla valutazione circa l’efficacia delle misure di trattamento programmate (e il loro eventuale riesame) a seguito del monitoraggio della loro attuazione, attuato sempre mediante il coinvolgiment</w:t>
      </w:r>
      <w:r w:rsidR="006D02C9" w:rsidRPr="00A10D09">
        <w:rPr>
          <w:rFonts w:asciiTheme="minorHAnsi" w:eastAsiaTheme="minorHAnsi" w:hAnsiTheme="minorHAnsi" w:cstheme="minorHAnsi"/>
          <w:bCs/>
          <w:color w:val="auto"/>
          <w:kern w:val="0"/>
          <w:sz w:val="22"/>
          <w:szCs w:val="22"/>
          <w:lang w:eastAsia="en-US"/>
        </w:rPr>
        <w:t>o</w:t>
      </w:r>
      <w:r w:rsidRPr="00A10D09">
        <w:rPr>
          <w:rFonts w:asciiTheme="minorHAnsi" w:eastAsiaTheme="minorHAnsi" w:hAnsiTheme="minorHAnsi" w:cstheme="minorHAnsi"/>
          <w:bCs/>
          <w:color w:val="auto"/>
          <w:kern w:val="0"/>
          <w:sz w:val="22"/>
          <w:szCs w:val="22"/>
          <w:lang w:eastAsia="en-US"/>
        </w:rPr>
        <w:t xml:space="preserve"> dei membri del Consiglio e della Segreteria, visto l’esiguo numero dei processi svolti in concreto, la si rinvia a successivi aggiornamenti del PTPCT, al fine di avere un arco temporale sufficiente per poter valutare la concreta operatività, bontà e qualità delle misure adottate.</w:t>
      </w:r>
    </w:p>
    <w:p w14:paraId="400792D4" w14:textId="3EDB891B"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Infine</w:t>
      </w:r>
      <w:r w:rsidR="00B3516E">
        <w:rPr>
          <w:rFonts w:asciiTheme="minorHAnsi" w:eastAsiaTheme="minorHAnsi" w:hAnsiTheme="minorHAnsi" w:cstheme="minorHAnsi"/>
          <w:bCs/>
          <w:color w:val="auto"/>
          <w:kern w:val="0"/>
          <w:sz w:val="22"/>
          <w:szCs w:val="22"/>
          <w:lang w:eastAsia="en-US"/>
        </w:rPr>
        <w:t>, l'approvazione del PTPCT è avvenuta mediante doppio passaggio, come suggerito dal PNA 2019: il primo schema del PTPCT con relativi allegati è stato inviato ai membri del Consiglio notarile (unico organo di indirizzo politico del CND) in data 3 marzo 2021 via e-mail</w:t>
      </w:r>
      <w:r w:rsidR="003D6819">
        <w:rPr>
          <w:rFonts w:asciiTheme="minorHAnsi" w:eastAsiaTheme="minorHAnsi" w:hAnsiTheme="minorHAnsi" w:cstheme="minorHAnsi"/>
          <w:bCs/>
          <w:color w:val="auto"/>
          <w:kern w:val="0"/>
          <w:sz w:val="22"/>
          <w:szCs w:val="22"/>
          <w:lang w:eastAsia="en-US"/>
        </w:rPr>
        <w:t xml:space="preserve"> per </w:t>
      </w:r>
      <w:r w:rsidR="00B3516E">
        <w:rPr>
          <w:rFonts w:asciiTheme="minorHAnsi" w:eastAsiaTheme="minorHAnsi" w:hAnsiTheme="minorHAnsi" w:cstheme="minorHAnsi"/>
          <w:bCs/>
          <w:color w:val="auto"/>
          <w:kern w:val="0"/>
          <w:sz w:val="22"/>
          <w:szCs w:val="22"/>
          <w:lang w:eastAsia="en-US"/>
        </w:rPr>
        <w:t>una prima approvazione; successivamente il PTPCT definitivo con i relativi allegati viene sottoposto all'approvazione del Consiglio notarile nella seduta del 18 marzo 2021.</w:t>
      </w:r>
    </w:p>
    <w:p w14:paraId="7D9898F7" w14:textId="54E8C98A" w:rsidR="000847E5" w:rsidRPr="00A10D09" w:rsidRDefault="00B3516E"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 xml:space="preserve">Il PTPCT </w:t>
      </w:r>
      <w:r w:rsidR="000847E5" w:rsidRPr="00A10D09">
        <w:rPr>
          <w:rFonts w:asciiTheme="minorHAnsi" w:eastAsiaTheme="minorHAnsi" w:hAnsiTheme="minorHAnsi" w:cstheme="minorHAnsi"/>
          <w:bCs/>
          <w:color w:val="auto"/>
          <w:kern w:val="0"/>
          <w:sz w:val="22"/>
          <w:szCs w:val="22"/>
          <w:lang w:eastAsia="en-US"/>
        </w:rPr>
        <w:t>ha validità triennale (2021-2023) ed entra in vigore il giorno successivo alla sua pubblicazione sul sito internet del CND di Bolzano. La data di pubblicazione verrà comprovata tramite la piattaforma Hashbot (www.hashbot.com), che consentirà, fra l'altro, di accertare la presenza sul sito del CND del documento PDF contenente il testo del presente PTPCT a partire dalla predetta data.</w:t>
      </w:r>
    </w:p>
    <w:p w14:paraId="623146A5" w14:textId="3BA9F97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Essendo un documento programmatico, per sua natura dinamico, secondo quanto previsto dall'art. 1, comma 8, della Legge 190/2012, il PTPCT sarà aggiornato entro il 31 gennaio di ciascun anno. Il prossimo aggiornamento annuale è fissato per il 31</w:t>
      </w:r>
      <w:r w:rsidR="005D6923" w:rsidRPr="00A10D09">
        <w:rPr>
          <w:rFonts w:asciiTheme="minorHAnsi" w:eastAsiaTheme="minorHAnsi" w:hAnsiTheme="minorHAnsi" w:cstheme="minorHAnsi"/>
          <w:bCs/>
          <w:color w:val="auto"/>
          <w:kern w:val="0"/>
          <w:sz w:val="22"/>
          <w:szCs w:val="22"/>
          <w:lang w:eastAsia="en-US"/>
        </w:rPr>
        <w:t xml:space="preserve"> gennaio </w:t>
      </w:r>
      <w:r w:rsidRPr="00A10D09">
        <w:rPr>
          <w:rFonts w:asciiTheme="minorHAnsi" w:eastAsiaTheme="minorHAnsi" w:hAnsiTheme="minorHAnsi" w:cstheme="minorHAnsi"/>
          <w:bCs/>
          <w:color w:val="auto"/>
          <w:kern w:val="0"/>
          <w:sz w:val="22"/>
          <w:szCs w:val="22"/>
          <w:lang w:eastAsia="en-US"/>
        </w:rPr>
        <w:t>2022, ma il Consiglio si riserva di approvare un aggiornamento infra-annuale, laddove si evincesse la poca adeguatezza dello stesso alla realtà del CND di Bolzano, in particolare scaturita dall'attività di reportistica, e se ne valutasse l'urgenza tale da non consentire l'attesa dell'aggiornamento del 31</w:t>
      </w:r>
      <w:r w:rsidR="005D6923" w:rsidRPr="00A10D09">
        <w:rPr>
          <w:rFonts w:asciiTheme="minorHAnsi" w:eastAsiaTheme="minorHAnsi" w:hAnsiTheme="minorHAnsi" w:cstheme="minorHAnsi"/>
          <w:bCs/>
          <w:color w:val="auto"/>
          <w:kern w:val="0"/>
          <w:sz w:val="22"/>
          <w:szCs w:val="22"/>
          <w:lang w:eastAsia="en-US"/>
        </w:rPr>
        <w:t xml:space="preserve"> gennaio 2022</w:t>
      </w:r>
      <w:r w:rsidRPr="00A10D09">
        <w:rPr>
          <w:rFonts w:asciiTheme="minorHAnsi" w:eastAsiaTheme="minorHAnsi" w:hAnsiTheme="minorHAnsi" w:cstheme="minorHAnsi"/>
          <w:bCs/>
          <w:color w:val="auto"/>
          <w:kern w:val="0"/>
          <w:sz w:val="22"/>
          <w:szCs w:val="22"/>
          <w:lang w:eastAsia="en-US"/>
        </w:rPr>
        <w:t>, ovvero laddove sopraggiungessero novità normative o ulteriori indicazioni da parte dell’ANAC.</w:t>
      </w:r>
    </w:p>
    <w:p w14:paraId="17701F2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367F4A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4" w:name="__RefHeading___Toc3759_1057308258"/>
      <w:bookmarkEnd w:id="4"/>
      <w:r w:rsidRPr="00A10D09">
        <w:rPr>
          <w:rFonts w:asciiTheme="minorHAnsi" w:eastAsiaTheme="minorHAnsi" w:hAnsiTheme="minorHAnsi" w:cstheme="minorHAnsi"/>
          <w:b/>
          <w:bCs/>
          <w:color w:val="auto"/>
          <w:kern w:val="0"/>
          <w:sz w:val="22"/>
          <w:szCs w:val="22"/>
          <w:lang w:eastAsia="en-US"/>
        </w:rPr>
        <w:t>1.4. Finalità e destinatari del PTPCT</w:t>
      </w:r>
    </w:p>
    <w:p w14:paraId="0620C00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PTPCT è finalizzato, tra l'altro, a:</w:t>
      </w:r>
    </w:p>
    <w:p w14:paraId="317453FE"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determinare la consapevolezza in capo ai destinatari che il verificarsi di fenomeni corruttivi espone l'Ente a gravi rischi, in special modo sotto il profilo dell'immagine pubblica, e può produrre conseguenze penali e disciplinari a carico dell'autore;</w:t>
      </w:r>
    </w:p>
    <w:p w14:paraId="56C703A0"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sensibilizzare tutti i soggetti destinatari ad impegnarsi attivamente e costantemente nell'attuare le misure di contenimento del rischio previste nel presente documento e nell'osservare le procedure e le regole interne, sollecitando il RPCT ad ogni modifica del Piano utile ai fini del suo rafforzamento;</w:t>
      </w:r>
    </w:p>
    <w:p w14:paraId="2BE2EE7D"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assicurare la correttezza dei rapporti tra l'Ente e i soggetti che con esso intrattengono relazioni di qualsiasi genere, anche verificando e vigilando su possibili conflitti d'interesse;</w:t>
      </w:r>
    </w:p>
    <w:p w14:paraId="3BE3F153"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coordinare le misure di prevenzione della corruzione con i controlli che devono essere attuati per vigilare sul rispetto delle disposizioni sulla inconferibilità e incompatibilità degli incarichi previste dal D.Lgs. 39/2013.</w:t>
      </w:r>
    </w:p>
    <w:p w14:paraId="32ADD4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Destinatari del PTPCT sono:</w:t>
      </w:r>
    </w:p>
    <w:p w14:paraId="51C483F4"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 del CND;</w:t>
      </w:r>
    </w:p>
    <w:p w14:paraId="7B070DB1"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personale del CND, a tempo indeterminato e determinato;</w:t>
      </w:r>
    </w:p>
    <w:p w14:paraId="58A52846"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consulenti e i collaboratori del CND;</w:t>
      </w:r>
    </w:p>
    <w:p w14:paraId="5306F1B3" w14:textId="55ED16CD"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 titolari di contratti </w:t>
      </w:r>
      <w:r w:rsidR="0042729A" w:rsidRPr="00A10D09">
        <w:rPr>
          <w:rFonts w:asciiTheme="minorHAnsi" w:eastAsiaTheme="minorHAnsi" w:hAnsiTheme="minorHAnsi" w:cstheme="minorHAnsi"/>
          <w:bCs/>
          <w:color w:val="auto"/>
          <w:kern w:val="0"/>
          <w:sz w:val="22"/>
          <w:szCs w:val="22"/>
          <w:lang w:eastAsia="en-US"/>
        </w:rPr>
        <w:t>pubblici</w:t>
      </w:r>
      <w:r w:rsidRPr="00A10D09">
        <w:rPr>
          <w:rFonts w:asciiTheme="minorHAnsi" w:eastAsiaTheme="minorHAnsi" w:hAnsiTheme="minorHAnsi" w:cstheme="minorHAnsi"/>
          <w:bCs/>
          <w:color w:val="auto"/>
          <w:kern w:val="0"/>
          <w:sz w:val="22"/>
          <w:szCs w:val="22"/>
          <w:lang w:eastAsia="en-US"/>
        </w:rPr>
        <w:t>;</w:t>
      </w:r>
    </w:p>
    <w:p w14:paraId="4C734BEC"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coloro che, anche nei fatti, operano per conto o nell'interesse del CND.</w:t>
      </w:r>
    </w:p>
    <w:p w14:paraId="7E348C26" w14:textId="210E5AB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propone al Consiglio l'aggiornamento del PTPCT (annuale ovvero infra</w:t>
      </w:r>
      <w:r w:rsidR="00D03B28" w:rsidRPr="00A10D09">
        <w:rPr>
          <w:rFonts w:asciiTheme="minorHAnsi" w:eastAsiaTheme="minorHAnsi" w:hAnsiTheme="minorHAnsi" w:cstheme="minorHAnsi"/>
          <w:bCs/>
          <w:color w:val="auto"/>
          <w:kern w:val="0"/>
          <w:sz w:val="22"/>
          <w:szCs w:val="22"/>
          <w:lang w:eastAsia="en-US"/>
        </w:rPr>
        <w:t>-a</w:t>
      </w:r>
      <w:r w:rsidRPr="00A10D09">
        <w:rPr>
          <w:rFonts w:asciiTheme="minorHAnsi" w:eastAsiaTheme="minorHAnsi" w:hAnsiTheme="minorHAnsi" w:cstheme="minorHAnsi"/>
          <w:bCs/>
          <w:color w:val="auto"/>
          <w:kern w:val="0"/>
          <w:sz w:val="22"/>
          <w:szCs w:val="22"/>
          <w:lang w:eastAsia="en-US"/>
        </w:rPr>
        <w:t>nnuale in caso di urgenza), sulla base della rilevazione di una o più esigenze che derivino:</w:t>
      </w:r>
    </w:p>
    <w:p w14:paraId="40F191D4"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 modifiche normative che abbiano ad oggetto la disciplina in materia di prevenzione della corruzione, la regolamentazione dei reati contro la PA o dei reati che comunque potrebbero costituire forme di abuso da parte del pubblico agente;</w:t>
      </w:r>
    </w:p>
    <w:p w14:paraId="0E744DF5"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 modifiche normative e regolamentari che incidano sul perimetro delle attribuzioni/competenze, delle attività o dell'organizzazione del Consiglio;</w:t>
      </w:r>
    </w:p>
    <w:p w14:paraId="1EDF5E9D"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dagli orientamenti eventualmente espressi dall'ANAC in sede di attività consultiva o di vigilanza;</w:t>
      </w:r>
    </w:p>
    <w:p w14:paraId="7A3D5FC2"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dalla identificazione e valutazione di nuovi eventi o fattori di rischio;</w:t>
      </w:r>
    </w:p>
    <w:p w14:paraId="1F8F948F"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dalla emersione di lacune del piano o comunque di situazioni sintomatiche della sua inidoneità ravvisate dal RPCT, anche in seguito all'accertamento di violazioni delle misure preventive, in conformità a quanto previsto dall'art. 1, comma 10, della Legge n. 190/2012.</w:t>
      </w:r>
    </w:p>
    <w:p w14:paraId="6242E7D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È fatto obbligo a tutti i soggetti indicati nel presente paragrafo di osservare le norme che disciplinano la prevenzione della corruzione e le disposizioni contenute nel presente PTPCT.</w:t>
      </w:r>
    </w:p>
    <w:p w14:paraId="3BC45422" w14:textId="4E74BD29"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 violazione delle predette misure è sanzionata in modo graduale, tenuto conto del ruolo e delle competenze del soggetto che pone in essere la violazione, nel rispetto dei principi espressi dall'art. 16 del D.P.R. 62/2013</w:t>
      </w:r>
      <w:r w:rsidR="00523B5B" w:rsidRPr="00A10D09">
        <w:rPr>
          <w:rFonts w:asciiTheme="minorHAnsi" w:eastAsiaTheme="minorHAnsi" w:hAnsiTheme="minorHAnsi" w:cstheme="minorHAnsi"/>
          <w:bCs/>
          <w:color w:val="auto"/>
          <w:kern w:val="0"/>
          <w:sz w:val="22"/>
          <w:szCs w:val="22"/>
          <w:lang w:eastAsia="en-US"/>
        </w:rPr>
        <w:t>:</w:t>
      </w:r>
    </w:p>
    <w:p w14:paraId="75DC64F4" w14:textId="77777777" w:rsidR="000847E5" w:rsidRPr="00A10D09" w:rsidRDefault="000847E5" w:rsidP="00086533">
      <w:pPr>
        <w:numPr>
          <w:ilvl w:val="0"/>
          <w:numId w:val="1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ipotizzata violazione da parte dei Consiglieri, il RPCT comunica il fatto al Consiglio, per le determinazioni del caso, e quest'ultimo delibera i provvedimenti da adottare; l'autore della violazione avrà l'obbligo di astenersi dalle attività correlate all'adozione dei previsti provvedimenti;</w:t>
      </w:r>
    </w:p>
    <w:p w14:paraId="2319E538" w14:textId="77777777" w:rsidR="000847E5" w:rsidRPr="00A10D09" w:rsidRDefault="000847E5" w:rsidP="00086533">
      <w:pPr>
        <w:numPr>
          <w:ilvl w:val="0"/>
          <w:numId w:val="1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ipotizzata violazione da parte dei dipendenti e degli altri soggetti obbligati all'osservanza del presente Piano, si configura un'ipotesi di illecito disciplinare, secondo quanto stabilito dall'art.1, comma 14 della Legge 190/2012, e il RPCT propone al Consiglio i provvedimenti da adottare;</w:t>
      </w:r>
    </w:p>
    <w:p w14:paraId="337B637F" w14:textId="77777777" w:rsidR="000847E5" w:rsidRPr="00A10D09" w:rsidRDefault="000847E5" w:rsidP="00086533">
      <w:pPr>
        <w:numPr>
          <w:ilvl w:val="0"/>
          <w:numId w:val="1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ipotizzata violazione da parte di soggetto esterno al Consiglio, vengono attivate le clausole contrattuali volte a dare rilevanza a tali comportamenti ai fini della risoluzione del contratto e del risarcimento del danno.</w:t>
      </w:r>
    </w:p>
    <w:p w14:paraId="1FA4C3E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eventuali responsabilità previste dalla Legge 190/2012 in capo al RPCT sono fatte valere dinnanzi al Consiglio che adotta gli opportuni provvedimenti, conformemente a quanto previsto dalle norme vigenti. L'eventuale rimozione dall'incarico del RPCT deve, comunque, essere preventivamente segnalata all'ANAC (art. 15 del D.Lgs. 39/2013). Devono inoltre essere segnalate all’ANAC eventuali misure discriminatorie, dirette o indirette, nei confronti del RPCT per motivi collegati, direttamente o indirettamente, allo svolgimento delle sue funzioni (art. 1, comma 7, della Legge 190/2012).</w:t>
      </w:r>
    </w:p>
    <w:p w14:paraId="0EFD04D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relazione alle ipotesi descritte dovrà essere sempre e comunque garantito il contraddittorio con gli interessati e una procedura di accertamento delle violazioni trasparente e imparziale.</w:t>
      </w:r>
    </w:p>
    <w:p w14:paraId="1BAF3FE4" w14:textId="54564985" w:rsidR="000847E5"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0D4F4764" w14:textId="77777777" w:rsidR="00502FDC" w:rsidRPr="00A10D09" w:rsidRDefault="00502FDC"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33FCFBBE"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2. ANALISI DEL CONTESTO ESTERNO E INTERNO</w:t>
      </w:r>
    </w:p>
    <w:p w14:paraId="74365085" w14:textId="6F66BA88"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5" w:name="__RefHeading___Toc3492_539215896"/>
      <w:bookmarkEnd w:id="5"/>
      <w:r w:rsidRPr="00A10D09">
        <w:rPr>
          <w:rFonts w:asciiTheme="minorHAnsi" w:eastAsiaTheme="minorHAnsi" w:hAnsiTheme="minorHAnsi" w:cstheme="minorHAnsi"/>
          <w:b/>
          <w:bCs/>
          <w:color w:val="auto"/>
          <w:kern w:val="0"/>
          <w:sz w:val="22"/>
          <w:szCs w:val="22"/>
          <w:lang w:eastAsia="en-US"/>
        </w:rPr>
        <w:t>2.1. Il CND di Bolzano: il contesto esterno e la struttura organizzativa interna</w:t>
      </w:r>
    </w:p>
    <w:p w14:paraId="62BBEC7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struttura territoriale nazionale del Notariato si articola in 92 Consigli notarili distrettuali cui fanno riferimento specifiche aree territoriali (Distretti notarili). I notai aventi sede nel Distretto costituiscono il Collegio notarile e per ogni Collegio è previsto un Consiglio Notarile, che opera in autonomia.</w:t>
      </w:r>
    </w:p>
    <w:p w14:paraId="5E6B454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Consiglio Notarile Distrettuale di Bolzano è competente per il Distretto notarile coincidente con il territorio della Provincia Autonoma di Bolzano. Il Distretto notarile di Bolzano comprende attualmente 52 sedi notarili, alcune delle quali sono vacanti.</w:t>
      </w:r>
    </w:p>
    <w:p w14:paraId="544EA46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oltre a tenere relazioni istituzionali con gli altri organi del Notariato (Consiglio Nazionale del Notariato, altri CND, Cassa Nazionale del Notariato, Co.Re.Di., Fondazione del Notariato), nell'esercizio delle sue funzioni, infra meglio descritte, entra in contatto anche con altri organi della pubblica amministrazione ed enti pubblici e privati, come ad esempio l'Ufficio del Libro fondiario, l'Ufficio del Catasto, l'Agenzia delle Entrate, il Tribunale, l'Agenzia CasaClima, associazioni di categoria anche locali (come il Centro tutela consumatori e utenti).</w:t>
      </w:r>
    </w:p>
    <w:p w14:paraId="68056F1C" w14:textId="1196A82E"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 rapporti con i cittadini sono legati ad attività istituzionali, come l'iscrizione nel registro dei praticanti, l'iscrizione nel ruolo dei notai, la concessione del patrocinio per </w:t>
      </w:r>
      <w:r w:rsidR="00D03B28" w:rsidRPr="00A10D09">
        <w:rPr>
          <w:rFonts w:asciiTheme="minorHAnsi" w:eastAsiaTheme="minorHAnsi" w:hAnsiTheme="minorHAnsi" w:cstheme="minorHAnsi"/>
          <w:bCs/>
          <w:color w:val="auto"/>
          <w:kern w:val="0"/>
          <w:sz w:val="22"/>
          <w:szCs w:val="22"/>
          <w:lang w:eastAsia="en-US"/>
        </w:rPr>
        <w:t>annuale</w:t>
      </w:r>
      <w:r w:rsidRPr="00A10D09">
        <w:rPr>
          <w:rFonts w:asciiTheme="minorHAnsi" w:eastAsiaTheme="minorHAnsi" w:hAnsiTheme="minorHAnsi" w:cstheme="minorHAnsi"/>
          <w:bCs/>
          <w:color w:val="auto"/>
          <w:kern w:val="0"/>
          <w:sz w:val="22"/>
          <w:szCs w:val="22"/>
          <w:lang w:eastAsia="en-US"/>
        </w:rPr>
        <w:t xml:space="preserve"> iniziative scientifiche e culturali, </w:t>
      </w:r>
      <w:r w:rsidRPr="00A10D09">
        <w:rPr>
          <w:rFonts w:asciiTheme="minorHAnsi" w:eastAsiaTheme="minorHAnsi" w:hAnsiTheme="minorHAnsi" w:cstheme="minorHAnsi"/>
          <w:bCs/>
          <w:color w:val="auto"/>
          <w:kern w:val="0"/>
          <w:sz w:val="22"/>
          <w:szCs w:val="22"/>
          <w:lang w:eastAsia="en-US"/>
        </w:rPr>
        <w:lastRenderedPageBreak/>
        <w:t>provvedimenti interessanti direttamente i notai del Collegio (come ad esempio il rilascio di permessi di assenza, la nomina di notai depositari, delegati o coadiutori, la vigilanza e le ispezioni).</w:t>
      </w:r>
    </w:p>
    <w:p w14:paraId="33847CC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di Bolzano è composto da 9 notai, eletti dai notai esercenti nel Distretto; gli eletti restano in carica tre anni. I membri del Consiglio sono rinnovati per un terzo in ciascun anno, secondo l'ordine di anzianità di nomina. Il Consiglio elegge tra i propri membri il Presidente, il Segretario e il Tesoriere.</w:t>
      </w:r>
    </w:p>
    <w:p w14:paraId="7CB2F46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L'attuale assetto organizzativo prevede le seguenti strutture:</w:t>
      </w:r>
    </w:p>
    <w:p w14:paraId="785793D2" w14:textId="77777777" w:rsidR="000847E5" w:rsidRPr="00A10D09" w:rsidRDefault="000847E5" w:rsidP="00086533">
      <w:pPr>
        <w:numPr>
          <w:ilvl w:val="0"/>
          <w:numId w:val="1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CONSIGLIO (composto da 9 notai)</w:t>
      </w:r>
    </w:p>
    <w:p w14:paraId="52CECF4E" w14:textId="77777777" w:rsidR="000847E5" w:rsidRPr="00A10D09" w:rsidRDefault="000847E5" w:rsidP="00086533">
      <w:pPr>
        <w:numPr>
          <w:ilvl w:val="0"/>
          <w:numId w:val="1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SEGRETERIA (due sole dipendenti, che lavorano part-time, rispettivamente al 37,50% e al 50,00%)</w:t>
      </w:r>
    </w:p>
    <w:p w14:paraId="62F3D27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Va segnalato che nel CND di Bolzano non vi sono dirigenti e, date le dimensioni dello stesso, non si prevede la nomina di referenti. Resta inteso che gli obblighi previsti dalla legge a carico di dirigenti fanno capo a tutti i componenti del CND e alle dipendenti.</w:t>
      </w:r>
    </w:p>
    <w:p w14:paraId="3EDD944B" w14:textId="5A59A628"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Inoltre, va precisato che, non essendovi dirigenti, ogni decisione è presa direttamente mediante delibera dell'organo di indirizzo (Consiglio notarile) ovvero, ove previsto dalla legge, dal Presidente del Consiglio notarile, per cui l'organo di indirizzo di fatto </w:t>
      </w:r>
      <w:r w:rsidR="003950CF" w:rsidRPr="00A10D09">
        <w:rPr>
          <w:rFonts w:asciiTheme="minorHAnsi" w:eastAsiaTheme="minorHAnsi" w:hAnsiTheme="minorHAnsi" w:cstheme="minorHAnsi"/>
          <w:bCs/>
          <w:color w:val="auto"/>
          <w:kern w:val="0"/>
          <w:sz w:val="22"/>
          <w:szCs w:val="22"/>
          <w:lang w:eastAsia="en-US"/>
        </w:rPr>
        <w:t xml:space="preserve">esercita </w:t>
      </w:r>
      <w:r w:rsidRPr="00A10D09">
        <w:rPr>
          <w:rFonts w:asciiTheme="minorHAnsi" w:eastAsiaTheme="minorHAnsi" w:hAnsiTheme="minorHAnsi" w:cstheme="minorHAnsi"/>
          <w:bCs/>
          <w:color w:val="auto"/>
          <w:kern w:val="0"/>
          <w:sz w:val="22"/>
          <w:szCs w:val="22"/>
          <w:lang w:eastAsia="en-US"/>
        </w:rPr>
        <w:t xml:space="preserve">il controllo diretto </w:t>
      </w:r>
      <w:r w:rsidR="003F0B75" w:rsidRPr="00A10D09">
        <w:rPr>
          <w:rFonts w:asciiTheme="minorHAnsi" w:eastAsiaTheme="minorHAnsi" w:hAnsiTheme="minorHAnsi" w:cstheme="minorHAnsi"/>
          <w:bCs/>
          <w:color w:val="auto"/>
          <w:kern w:val="0"/>
          <w:sz w:val="22"/>
          <w:szCs w:val="22"/>
          <w:lang w:eastAsia="en-US"/>
        </w:rPr>
        <w:t>su</w:t>
      </w:r>
      <w:r w:rsidRPr="00A10D09">
        <w:rPr>
          <w:rFonts w:asciiTheme="minorHAnsi" w:eastAsiaTheme="minorHAnsi" w:hAnsiTheme="minorHAnsi" w:cstheme="minorHAnsi"/>
          <w:bCs/>
          <w:color w:val="auto"/>
          <w:kern w:val="0"/>
          <w:sz w:val="22"/>
          <w:szCs w:val="22"/>
          <w:lang w:eastAsia="en-US"/>
        </w:rPr>
        <w:t>ll'intera attività svolta.</w:t>
      </w:r>
    </w:p>
    <w:p w14:paraId="558EC72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617B0F1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6" w:name="__RefHeading___Toc3494_539215896"/>
      <w:bookmarkEnd w:id="6"/>
      <w:r w:rsidRPr="00A10D09">
        <w:rPr>
          <w:rFonts w:asciiTheme="minorHAnsi" w:eastAsiaTheme="minorHAnsi" w:hAnsiTheme="minorHAnsi" w:cstheme="minorHAnsi"/>
          <w:b/>
          <w:bCs/>
          <w:color w:val="auto"/>
          <w:kern w:val="0"/>
          <w:sz w:val="22"/>
          <w:szCs w:val="22"/>
          <w:lang w:eastAsia="en-US"/>
        </w:rPr>
        <w:t>2.2. Il CND di Bolzano: le sue competenze</w:t>
      </w:r>
    </w:p>
    <w:p w14:paraId="48FDC8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Il CND svolge le seguenti </w:t>
      </w:r>
      <w:r w:rsidRPr="00A10D09">
        <w:rPr>
          <w:rFonts w:asciiTheme="minorHAnsi" w:eastAsiaTheme="minorHAnsi" w:hAnsiTheme="minorHAnsi" w:cstheme="minorHAnsi"/>
          <w:bCs/>
          <w:color w:val="auto"/>
          <w:kern w:val="0"/>
          <w:sz w:val="22"/>
          <w:szCs w:val="22"/>
          <w:u w:val="single"/>
          <w:lang w:eastAsia="en-US"/>
        </w:rPr>
        <w:t>attività istituzionali</w:t>
      </w:r>
      <w:r w:rsidRPr="00A10D09">
        <w:rPr>
          <w:rFonts w:asciiTheme="minorHAnsi" w:eastAsiaTheme="minorHAnsi" w:hAnsiTheme="minorHAnsi" w:cstheme="minorHAnsi"/>
          <w:bCs/>
          <w:color w:val="auto"/>
          <w:kern w:val="0"/>
          <w:sz w:val="22"/>
          <w:szCs w:val="22"/>
          <w:lang w:eastAsia="en-US"/>
        </w:rPr>
        <w:t xml:space="preserve"> in ragione delle competenze attribuitegli dalle norme di settore vigenti:</w:t>
      </w:r>
    </w:p>
    <w:p w14:paraId="4AF75D18"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vigila sulla conservazione del decoro nell'esercizio della professione, e nella condotta dei notai iscritti presso il medesimo, e sull'esatta osservanza dei loro doveri;</w:t>
      </w:r>
    </w:p>
    <w:p w14:paraId="0EBB3D82"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vigila sulla condotta dei praticanti e sul modo in cui gli stessi adempiono i loro doveri, e rilascia i relativi certificati;</w:t>
      </w:r>
    </w:p>
    <w:p w14:paraId="40336B42"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emette, su richiesta delle autorità competenti, il proprio parere sulle materie attinenti al notariato;</w:t>
      </w:r>
    </w:p>
    <w:p w14:paraId="0FA6A450"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forma ed autentica ogni anno il ruolo dei notai esercenti e praticanti;</w:t>
      </w:r>
    </w:p>
    <w:p w14:paraId="06FA42AB"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s'interpone, se richiesto, a comporre le contestazioni tra notai, e tra notai e terzi, sia per la restituzione di carte e documenti, sia per questioni di spese ed onorari, o per qualunque altro oggetto attinente all'esercizio del notariato;</w:t>
      </w:r>
    </w:p>
    <w:p w14:paraId="49DC570A"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riceve dal Tesoriere, in principio di ogni anno, il conto delle spese dell'anno decorso e forma quello preventivo dell'anno seguente, salva l'approvazione del collegio;</w:t>
      </w:r>
    </w:p>
    <w:p w14:paraId="2503E7F6" w14:textId="257879CB"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vigila altresì sull'osservanza, da parte dei notai iscritti al collegio, dei principi e delle norme di deontologia professionale elaborati dal Consiglio nazionale del notariato (CNN) secondo quanto previsto dall'articolo 2, comma primo, lettera f), della Legge 3 agosto 1949</w:t>
      </w:r>
      <w:r w:rsidR="00CF2755"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color w:val="auto"/>
          <w:kern w:val="0"/>
          <w:sz w:val="22"/>
          <w:szCs w:val="22"/>
          <w:lang w:eastAsia="en-US"/>
        </w:rPr>
        <w:t xml:space="preserve"> n. 577, e successive modificazioni.</w:t>
      </w:r>
    </w:p>
    <w:p w14:paraId="21E68D3A" w14:textId="19E52A8E"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Qualora venga rilevata l'inosservanza di leggi, di regolamenti, di principi e norme deontologiche elaborati dal CNN ovvero la violazione di altri doveri da parte del notaio, il CND promuove, per il tramite del presidente, procedimento disciplinare avanti alla Commissione amministrativa regionale di disciplina (Co.Re.Di.), ai sensi </w:t>
      </w:r>
      <w:r w:rsidRPr="00A10D09">
        <w:rPr>
          <w:rFonts w:asciiTheme="minorHAnsi" w:eastAsiaTheme="minorHAnsi" w:hAnsiTheme="minorHAnsi" w:cstheme="minorHAnsi"/>
          <w:bCs/>
          <w:color w:val="auto"/>
          <w:kern w:val="0"/>
          <w:sz w:val="22"/>
          <w:szCs w:val="22"/>
          <w:lang w:eastAsia="en-US"/>
        </w:rPr>
        <w:lastRenderedPageBreak/>
        <w:t>dell'art. 153 della Legge 89/1913, recante “Ordinamento del notariato e degli archivi notarili”. Competente per gli illeciti disciplinari commessi dai notai è la Commissione della circoscrizione nella quale è compreso il distretto nel cui ruolo era iscritto il notaio quando è stato commesso il fatto per il quale si procede. Nella circoscrizione territoriale del Triveneto è istituita una Co.</w:t>
      </w:r>
      <w:proofErr w:type="gramStart"/>
      <w:r w:rsidRPr="00A10D09">
        <w:rPr>
          <w:rFonts w:asciiTheme="minorHAnsi" w:eastAsiaTheme="minorHAnsi" w:hAnsiTheme="minorHAnsi" w:cstheme="minorHAnsi"/>
          <w:bCs/>
          <w:color w:val="auto"/>
          <w:kern w:val="0"/>
          <w:sz w:val="22"/>
          <w:szCs w:val="22"/>
          <w:lang w:eastAsia="en-US"/>
        </w:rPr>
        <w:t>Re.Di.</w:t>
      </w:r>
      <w:proofErr w:type="gramEnd"/>
      <w:r w:rsidRPr="00A10D09">
        <w:rPr>
          <w:rFonts w:asciiTheme="minorHAnsi" w:eastAsiaTheme="minorHAnsi" w:hAnsiTheme="minorHAnsi" w:cstheme="minorHAnsi"/>
          <w:bCs/>
          <w:color w:val="auto"/>
          <w:kern w:val="0"/>
          <w:sz w:val="22"/>
          <w:szCs w:val="22"/>
          <w:lang w:eastAsia="en-US"/>
        </w:rPr>
        <w:t xml:space="preserve"> con sede presso il Consiglio notarile distrettuale di Venezia, la quale è competente per i territori delle regioni Veneto, Friuli-Venezia Giulia e Trentino-Alto Adige.</w:t>
      </w:r>
    </w:p>
    <w:p w14:paraId="24C4C12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Inoltre, il CND svolge una serie di </w:t>
      </w:r>
      <w:r w:rsidRPr="00A10D09">
        <w:rPr>
          <w:rFonts w:asciiTheme="minorHAnsi" w:eastAsiaTheme="minorHAnsi" w:hAnsiTheme="minorHAnsi" w:cstheme="minorHAnsi"/>
          <w:bCs/>
          <w:color w:val="auto"/>
          <w:kern w:val="0"/>
          <w:sz w:val="22"/>
          <w:szCs w:val="22"/>
          <w:u w:val="single"/>
          <w:lang w:eastAsia="en-US"/>
        </w:rPr>
        <w:t>attività di supporto</w:t>
      </w:r>
      <w:r w:rsidRPr="00A10D09">
        <w:rPr>
          <w:rFonts w:asciiTheme="minorHAnsi" w:eastAsiaTheme="minorHAnsi" w:hAnsiTheme="minorHAnsi" w:cstheme="minorHAnsi"/>
          <w:bCs/>
          <w:color w:val="auto"/>
          <w:kern w:val="0"/>
          <w:sz w:val="22"/>
          <w:szCs w:val="22"/>
          <w:lang w:eastAsia="en-US"/>
        </w:rPr>
        <w:t>, ovvero le attività concernenti i profili organizzativi e funzionali dell'ente, prodromiche al corretto esercizio delle attività istituzionali.</w:t>
      </w:r>
    </w:p>
    <w:p w14:paraId="2B32381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09F15D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7" w:name="__RefHeading___Toc3494_5392158961"/>
      <w:bookmarkEnd w:id="7"/>
      <w:r w:rsidRPr="00A10D09">
        <w:rPr>
          <w:rFonts w:asciiTheme="minorHAnsi" w:eastAsiaTheme="minorHAnsi" w:hAnsiTheme="minorHAnsi" w:cstheme="minorHAnsi"/>
          <w:b/>
          <w:bCs/>
          <w:color w:val="auto"/>
          <w:kern w:val="0"/>
          <w:sz w:val="22"/>
          <w:szCs w:val="22"/>
          <w:lang w:eastAsia="en-US"/>
        </w:rPr>
        <w:t>2.3. Ente di diritto privato in controllo</w:t>
      </w:r>
    </w:p>
    <w:p w14:paraId="32167FA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 CND di Bolzano spetta la nomina di due rappresentanti in seno al </w:t>
      </w:r>
      <w:r w:rsidRPr="00A10D09">
        <w:rPr>
          <w:rFonts w:asciiTheme="minorHAnsi" w:eastAsiaTheme="minorHAnsi" w:hAnsiTheme="minorHAnsi" w:cstheme="minorHAnsi"/>
          <w:bCs/>
          <w:i/>
          <w:iCs/>
          <w:color w:val="auto"/>
          <w:kern w:val="0"/>
          <w:sz w:val="22"/>
          <w:szCs w:val="22"/>
          <w:lang w:eastAsia="en-US"/>
        </w:rPr>
        <w:t xml:space="preserve">Comitato interregionale dei Consigli notarili delle Tre Venezie </w:t>
      </w:r>
      <w:r w:rsidRPr="00A10D09">
        <w:rPr>
          <w:rFonts w:asciiTheme="minorHAnsi" w:eastAsiaTheme="minorHAnsi" w:hAnsiTheme="minorHAnsi" w:cstheme="minorHAnsi"/>
          <w:bCs/>
          <w:color w:val="auto"/>
          <w:kern w:val="0"/>
          <w:sz w:val="22"/>
          <w:szCs w:val="22"/>
          <w:lang w:eastAsia="en-US"/>
        </w:rPr>
        <w:t xml:space="preserve">(in breve </w:t>
      </w:r>
      <w:r w:rsidRPr="00A10D09">
        <w:rPr>
          <w:rFonts w:asciiTheme="minorHAnsi" w:eastAsiaTheme="minorHAnsi" w:hAnsiTheme="minorHAnsi" w:cstheme="minorHAnsi"/>
          <w:bCs/>
          <w:i/>
          <w:iCs/>
          <w:color w:val="auto"/>
          <w:kern w:val="0"/>
          <w:sz w:val="22"/>
          <w:szCs w:val="22"/>
          <w:lang w:eastAsia="en-US"/>
        </w:rPr>
        <w:t>Comitato Triveneto</w:t>
      </w:r>
      <w:r w:rsidRPr="00A10D09">
        <w:rPr>
          <w:rFonts w:asciiTheme="minorHAnsi" w:eastAsiaTheme="minorHAnsi" w:hAnsiTheme="minorHAnsi" w:cstheme="minorHAnsi"/>
          <w:bCs/>
          <w:color w:val="auto"/>
          <w:kern w:val="0"/>
          <w:sz w:val="22"/>
          <w:szCs w:val="22"/>
          <w:lang w:eastAsia="en-US"/>
        </w:rPr>
        <w:t>), ente di diritto privato costituito nel 1956 da tutti i Consigli Notarili Distrettuali delle Regioni Veneto, Trentino-Alto Adige e Friuli-Venezia Giulia. Il Comitato “si propone di rafforzare l’organizzazione del Notariato delle Tre Venezie e di accrescerne l’efficienza onde permettergli di svolgere al meglio la propria pubblica funzione di garante della legalità, a servizio dei clienti e dello Stato” (art. 2 dello Statuto).</w:t>
      </w:r>
    </w:p>
    <w:p w14:paraId="242BDE4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 </w:t>
      </w:r>
      <w:r w:rsidRPr="00A10D09">
        <w:rPr>
          <w:rFonts w:asciiTheme="minorHAnsi" w:eastAsiaTheme="minorHAnsi" w:hAnsiTheme="minorHAnsi" w:cstheme="minorHAnsi"/>
          <w:bCs/>
          <w:i/>
          <w:iCs/>
          <w:color w:val="auto"/>
          <w:kern w:val="0"/>
          <w:sz w:val="22"/>
          <w:szCs w:val="22"/>
          <w:lang w:eastAsia="en-US"/>
        </w:rPr>
        <w:t xml:space="preserve">Comitato Triveneto </w:t>
      </w:r>
      <w:r w:rsidRPr="00A10D09">
        <w:rPr>
          <w:rFonts w:asciiTheme="minorHAnsi" w:eastAsiaTheme="minorHAnsi" w:hAnsiTheme="minorHAnsi" w:cstheme="minorHAnsi"/>
          <w:bCs/>
          <w:color w:val="auto"/>
          <w:kern w:val="0"/>
          <w:sz w:val="22"/>
          <w:szCs w:val="22"/>
          <w:lang w:eastAsia="en-US"/>
        </w:rPr>
        <w:t xml:space="preserve">non si applica la disciplina di cui al D.Lgs. 33/2013, in quanto ente di diritto privato con bilancio non superiore a cinquecentomila euro. Ai sensi dell’art. 22, comma 2, del D.Lgs. 33/2013, il CND di Bolzano è comunque tenuto a pubblicare i seguenti dati relativi al </w:t>
      </w:r>
      <w:r w:rsidRPr="00A10D09">
        <w:rPr>
          <w:rFonts w:asciiTheme="minorHAnsi" w:eastAsiaTheme="minorHAnsi" w:hAnsiTheme="minorHAnsi" w:cstheme="minorHAnsi"/>
          <w:bCs/>
          <w:i/>
          <w:iCs/>
          <w:color w:val="auto"/>
          <w:kern w:val="0"/>
          <w:sz w:val="22"/>
          <w:szCs w:val="22"/>
          <w:lang w:eastAsia="en-US"/>
        </w:rPr>
        <w:t>Comitato Triveneto</w:t>
      </w:r>
      <w:r w:rsidRPr="00A10D09">
        <w:rPr>
          <w:rFonts w:asciiTheme="minorHAnsi" w:eastAsiaTheme="minorHAnsi" w:hAnsiTheme="minorHAnsi" w:cstheme="minorHAnsi"/>
          <w:bCs/>
          <w:color w:val="auto"/>
          <w:kern w:val="0"/>
          <w:sz w:val="22"/>
          <w:szCs w:val="22"/>
          <w:lang w:eastAsia="en-US"/>
        </w:rPr>
        <w:t>: denominazione, misura della partecipazione del CND, durata dell'impegno, onere complessivo a qualsiasi titolo gravante per l'anno sul bilancio del CND, numero dei rappresentanti del CND negli organi di governo del Comitato, eventuale trattamento economico complessivo a ciascuno di essi spettante, risultati di bilancio degli ultimi tre esercizi finanziari, dati relativi agli incarichi di amministratore del Comitato e  relativo trattamento economico complessivo.</w:t>
      </w:r>
    </w:p>
    <w:p w14:paraId="41FAC42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C44B44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2.4. Il Responsabile della prevenzione della corruzione e della trasparenza del CND di Bolzano</w:t>
      </w:r>
    </w:p>
    <w:p w14:paraId="02C5285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disciplina introdotta dal D.Lgs. 97/2016 ha unificato in capo ad un solo soggetto l’incarico di Responsabile della prevenzione della corruzione e di Responsabile della trasparenza. Di norma, l’organo di indirizzo individua il RPCT tra i dirigenti amministrativi in servizio o, in mancanza di dirigenti, tra il personale di profilo non dirigenziale in possesso di idonee competenze.</w:t>
      </w:r>
    </w:p>
    <w:p w14:paraId="60AA5B7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Considerato che il CND di Bolzano non dispone di personale con profilo dirigenziale e che le uniche due dipendenti di profilo non dirigenziale sono prive di idonee competenze in materia, il Consiglio nomina RPCT uno dei propri componenti privo di deleghe gestionali.</w:t>
      </w:r>
    </w:p>
    <w:p w14:paraId="0282C7D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delibera del 19 marzo 2020, il CND di Bolzano ha proceduto alla nomina del RPCT nella persona del consigliere Peter Niederfriniger.</w:t>
      </w:r>
    </w:p>
    <w:p w14:paraId="6E3A0A2D" w14:textId="0B26194C"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Ai sensi della Legge 190/2012, il RPCT predispone il PTPCT e lo </w:t>
      </w:r>
      <w:r w:rsidR="00D30824">
        <w:rPr>
          <w:rFonts w:asciiTheme="minorHAnsi" w:eastAsiaTheme="minorHAnsi" w:hAnsiTheme="minorHAnsi" w:cstheme="minorHAnsi"/>
          <w:bCs/>
          <w:color w:val="auto"/>
          <w:kern w:val="0"/>
          <w:sz w:val="22"/>
          <w:szCs w:val="22"/>
          <w:lang w:eastAsia="en-US"/>
        </w:rPr>
        <w:t xml:space="preserve">propone per l'approvazione in doppio passaggio al Consiglio (unico organo di indirizzo politico del CND), </w:t>
      </w:r>
      <w:r w:rsidRPr="00A10D09">
        <w:rPr>
          <w:rFonts w:asciiTheme="minorHAnsi" w:eastAsiaTheme="minorHAnsi" w:hAnsiTheme="minorHAnsi" w:cstheme="minorHAnsi"/>
          <w:bCs/>
          <w:color w:val="auto"/>
          <w:kern w:val="0"/>
          <w:sz w:val="22"/>
          <w:szCs w:val="22"/>
          <w:lang w:eastAsia="en-US"/>
        </w:rPr>
        <w:t xml:space="preserve">ne verifica l'efficace attuazione e la sua idoneità e propone la modifica dello stesso quando sono accertate significative violazioni delle prescrizioni ovvero quando intervengono mutamenti nell'organizzazione o nell'attività dell'ente, e comunque ne propone </w:t>
      </w:r>
      <w:r w:rsidRPr="00A10D09">
        <w:rPr>
          <w:rFonts w:asciiTheme="minorHAnsi" w:eastAsiaTheme="minorHAnsi" w:hAnsiTheme="minorHAnsi" w:cstheme="minorHAnsi"/>
          <w:bCs/>
          <w:color w:val="auto"/>
          <w:kern w:val="0"/>
          <w:sz w:val="22"/>
          <w:szCs w:val="22"/>
          <w:lang w:eastAsia="en-US"/>
        </w:rPr>
        <w:lastRenderedPageBreak/>
        <w:t xml:space="preserve">l'aggiornamento annuale entro il 31 gennaio di ogni anno. Ad avvenuta approvazione </w:t>
      </w:r>
      <w:r w:rsidR="00987CBC" w:rsidRPr="00A10D09">
        <w:rPr>
          <w:rFonts w:asciiTheme="minorHAnsi" w:eastAsiaTheme="minorHAnsi" w:hAnsiTheme="minorHAnsi" w:cstheme="minorHAnsi"/>
          <w:bCs/>
          <w:color w:val="auto"/>
          <w:kern w:val="0"/>
          <w:sz w:val="22"/>
          <w:szCs w:val="22"/>
          <w:lang w:eastAsia="en-US"/>
        </w:rPr>
        <w:t xml:space="preserve">il </w:t>
      </w:r>
      <w:r w:rsidRPr="00A10D09">
        <w:rPr>
          <w:rFonts w:asciiTheme="minorHAnsi" w:eastAsiaTheme="minorHAnsi" w:hAnsiTheme="minorHAnsi" w:cstheme="minorHAnsi"/>
          <w:bCs/>
          <w:color w:val="auto"/>
          <w:kern w:val="0"/>
          <w:sz w:val="22"/>
          <w:szCs w:val="22"/>
          <w:lang w:eastAsia="en-US"/>
        </w:rPr>
        <w:t>RPCT carica il PTPCT sulla Piattaforma per l'acquisizione dei dati sui PTPCT dell'ANAC.</w:t>
      </w:r>
    </w:p>
    <w:p w14:paraId="43A5569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svolge inoltre un'attività di controllo sull'adempimento da parte del CND di Bolzano degli obblighi di pubblicazione previsti dalla normativa vigente, assicurando la completezza, la chiarezza e l'aggiornamento delle informazioni pubblicate, nonché segnalando al Consiglio e all'ANAC i casi di mancato o ritardato adempimento degli obblighi di pubblicazione.</w:t>
      </w:r>
    </w:p>
    <w:p w14:paraId="38F79B2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controlla e assicura la regolare attuazione dell'accesso civico sulla base di quanto stabilito dal D.Lgs. 33/2013, come modificato dal D.Lgs. 97/2016. Egli riceve le richieste di accesso civico ai sensi dell'art. 5, commi 1 e 2, del D.Lgs. 33/2013.</w:t>
      </w:r>
    </w:p>
    <w:p w14:paraId="0E08C94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si relaziona con il Responsabile della prevenzione della corruzione e della trasparenza del Consiglio Nazionale del Notariato (CNN), al fine di rendere coordinata e omogenea l'attuazione della normativa sulla prevenzione della corruzione in tutte le articolazioni territoriali dell'Ordine professionale della categoria notarile.</w:t>
      </w:r>
    </w:p>
    <w:p w14:paraId="021F01B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Tutti i componenti del Consiglio e i dipendenti del CND sono tenuti a partecipare a percorsi di formazione sui temi dell'etica e della legalità (art. 1, comma 10, lett. c), della Legge 190/2012) nonché a fornire le informazioni occorrenti per redigere il PTPCT.</w:t>
      </w:r>
    </w:p>
    <w:p w14:paraId="7A91772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Entro il 15 dicembre di ogni anno, il RPCT presenta e trasmette al Consiglio una relazione recante i risultati dell'attività svolta (art. 1, comma 14, seconda parte, della Legge 190/2012) utilizzando l'apposito modulo generato sulla Piattaforma per l'acquisizione dei PTPCT e la pubblica sul sito internet del CND (www.notai.bz.it).</w:t>
      </w:r>
    </w:p>
    <w:p w14:paraId="39963EA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53EDC7A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2.5. La mappatura dei processi</w:t>
      </w:r>
    </w:p>
    <w:p w14:paraId="64116D1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Come anticipato, al fine di adottare una razionale pianificazione di prevenzione della maladministration è necessario procedere a una adeguata mappatura dei processi che consenta l'individuazione del contesto entro cui deve essere sviluppata la valutazione del rischio. </w:t>
      </w:r>
    </w:p>
    <w:p w14:paraId="0B921AB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Secondo il PNA 2019, un processo può essere definito come una sequenza di attività interrelate e interagenti che trasformano delle risorse (</w:t>
      </w:r>
      <w:r w:rsidRPr="00A10D09">
        <w:rPr>
          <w:rFonts w:asciiTheme="minorHAnsi" w:eastAsiaTheme="minorHAnsi" w:hAnsiTheme="minorHAnsi" w:cstheme="minorHAnsi"/>
          <w:bCs/>
          <w:i/>
          <w:color w:val="auto"/>
          <w:kern w:val="0"/>
          <w:sz w:val="22"/>
          <w:szCs w:val="22"/>
          <w:lang w:eastAsia="en-US"/>
        </w:rPr>
        <w:t>input</w:t>
      </w:r>
      <w:r w:rsidRPr="00A10D09">
        <w:rPr>
          <w:rFonts w:asciiTheme="minorHAnsi" w:eastAsiaTheme="minorHAnsi" w:hAnsiTheme="minorHAnsi" w:cstheme="minorHAnsi"/>
          <w:bCs/>
          <w:color w:val="auto"/>
          <w:kern w:val="0"/>
          <w:sz w:val="22"/>
          <w:szCs w:val="22"/>
          <w:lang w:eastAsia="en-US"/>
        </w:rPr>
        <w:t xml:space="preserve">) in un </w:t>
      </w:r>
      <w:r w:rsidRPr="00A10D09">
        <w:rPr>
          <w:rFonts w:asciiTheme="minorHAnsi" w:eastAsiaTheme="minorHAnsi" w:hAnsiTheme="minorHAnsi" w:cstheme="minorHAnsi"/>
          <w:bCs/>
          <w:i/>
          <w:color w:val="auto"/>
          <w:kern w:val="0"/>
          <w:sz w:val="22"/>
          <w:szCs w:val="22"/>
          <w:lang w:eastAsia="en-US"/>
        </w:rPr>
        <w:t>output</w:t>
      </w:r>
      <w:r w:rsidRPr="00A10D09">
        <w:rPr>
          <w:rFonts w:asciiTheme="minorHAnsi" w:eastAsiaTheme="minorHAnsi" w:hAnsiTheme="minorHAnsi" w:cstheme="minorHAnsi"/>
          <w:bCs/>
          <w:color w:val="auto"/>
          <w:kern w:val="0"/>
          <w:sz w:val="22"/>
          <w:szCs w:val="22"/>
          <w:lang w:eastAsia="en-US"/>
        </w:rPr>
        <w:t xml:space="preserve"> destinato ad un soggetto interno o esterno all'amministrazione (utente). Il concetto di processo è più ampio di quello di procedimento amministrativo e ricomprende anche le procedure di natura privatistica.</w:t>
      </w:r>
    </w:p>
    <w:p w14:paraId="7F189E45" w14:textId="0276E3E5"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effettuare la mappatura dei processi del CND e le conseguenti attività di identificazione, valutazione e trattamento dei rischi, il RPCT si avvale della collaborazione dell'intero Consiglio e delle dipendenti del CND, secondo l'insegnamento </w:t>
      </w:r>
      <w:r w:rsidR="004A061D" w:rsidRPr="00A10D09">
        <w:rPr>
          <w:rFonts w:asciiTheme="minorHAnsi" w:eastAsiaTheme="minorHAnsi" w:hAnsiTheme="minorHAnsi" w:cstheme="minorHAnsi"/>
          <w:bCs/>
          <w:color w:val="auto"/>
          <w:kern w:val="0"/>
          <w:sz w:val="22"/>
          <w:szCs w:val="22"/>
          <w:lang w:eastAsia="en-US"/>
        </w:rPr>
        <w:t>de</w:t>
      </w:r>
      <w:r w:rsidRPr="00A10D09">
        <w:rPr>
          <w:rFonts w:asciiTheme="minorHAnsi" w:eastAsiaTheme="minorHAnsi" w:hAnsiTheme="minorHAnsi" w:cstheme="minorHAnsi"/>
          <w:bCs/>
          <w:color w:val="auto"/>
          <w:kern w:val="0"/>
          <w:sz w:val="22"/>
          <w:szCs w:val="22"/>
          <w:lang w:eastAsia="en-US"/>
        </w:rPr>
        <w:t>ll'ANAC, secondo le modalità sopra descritte.</w:t>
      </w:r>
    </w:p>
    <w:p w14:paraId="6E7CC68F" w14:textId="278C4695"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mappatura dei processi concretamente si articola nelle fasi dell'identificazione (che porta alla creazione dell'elenco completo dei processi relativi all'intera attività dell'amministrazione, mediante la rilevazione e classificazione delle attività secondo "aree di rischio" omogenee), della descrizione (che riguarda le modalità di svolgimento del processo, mediante una breve descrizione delle finalità, della sequenza delle attività e delle responsabilità con individuazione dei soggetti responsabili) e della rappresentazione (che porta alla rappresentazione degli elementi rilevati nelle due fasi precedenti). Nel presente PTPCT si è scelta </w:t>
      </w:r>
      <w:r w:rsidR="004A061D" w:rsidRPr="00A10D09">
        <w:rPr>
          <w:rFonts w:asciiTheme="minorHAnsi" w:eastAsiaTheme="minorHAnsi" w:hAnsiTheme="minorHAnsi" w:cstheme="minorHAnsi"/>
          <w:bCs/>
          <w:color w:val="auto"/>
          <w:kern w:val="0"/>
          <w:sz w:val="22"/>
          <w:szCs w:val="22"/>
          <w:lang w:eastAsia="en-US"/>
        </w:rPr>
        <w:t xml:space="preserve">la </w:t>
      </w:r>
      <w:r w:rsidRPr="00A10D09">
        <w:rPr>
          <w:rFonts w:asciiTheme="minorHAnsi" w:eastAsiaTheme="minorHAnsi" w:hAnsiTheme="minorHAnsi" w:cstheme="minorHAnsi"/>
          <w:bCs/>
          <w:color w:val="auto"/>
          <w:kern w:val="0"/>
          <w:sz w:val="22"/>
          <w:szCs w:val="22"/>
          <w:lang w:eastAsia="en-US"/>
        </w:rPr>
        <w:t xml:space="preserve">rappresentazione in forma tabellare, tenendo conto del suggerimento del PNA 2019 di includere solo gli </w:t>
      </w:r>
      <w:r w:rsidRPr="00A10D09">
        <w:rPr>
          <w:rFonts w:asciiTheme="minorHAnsi" w:eastAsiaTheme="minorHAnsi" w:hAnsiTheme="minorHAnsi" w:cstheme="minorHAnsi"/>
          <w:bCs/>
          <w:color w:val="auto"/>
          <w:kern w:val="0"/>
          <w:sz w:val="22"/>
          <w:szCs w:val="22"/>
          <w:lang w:eastAsia="en-US"/>
        </w:rPr>
        <w:lastRenderedPageBreak/>
        <w:t>elementi strettamente funzionali allo svolgimento delle fasi successive del processo di gestione del rischio (valutazione e trattamento).</w:t>
      </w:r>
    </w:p>
    <w:p w14:paraId="43DA41C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mappatura dei processi del CND è stata originariamente effettuata nel quadro della predisposizione del PTPCT relativo al triennio 2016-2018, coinvolgendo, a partire dal 10 dicembre 2015, tutti i componenti del Consiglio attraverso la predisposizione, da parte del Responsabile della prevenzione della corruzione nei giorni successivi alla seduta del 10 dicembre 2015, di una tabella elettronica, condivisa tramite </w:t>
      </w:r>
      <w:r w:rsidRPr="00A10D09">
        <w:rPr>
          <w:rFonts w:asciiTheme="minorHAnsi" w:eastAsiaTheme="minorHAnsi" w:hAnsiTheme="minorHAnsi" w:cstheme="minorHAnsi"/>
          <w:bCs/>
          <w:i/>
          <w:color w:val="auto"/>
          <w:kern w:val="0"/>
          <w:sz w:val="22"/>
          <w:szCs w:val="22"/>
          <w:lang w:eastAsia="en-US"/>
        </w:rPr>
        <w:t>cloud</w:t>
      </w:r>
      <w:r w:rsidRPr="00A10D09">
        <w:rPr>
          <w:rFonts w:asciiTheme="minorHAnsi" w:eastAsiaTheme="minorHAnsi" w:hAnsiTheme="minorHAnsi" w:cstheme="minorHAnsi"/>
          <w:bCs/>
          <w:color w:val="auto"/>
          <w:kern w:val="0"/>
          <w:sz w:val="22"/>
          <w:szCs w:val="22"/>
          <w:lang w:eastAsia="en-US"/>
        </w:rPr>
        <w:t xml:space="preserve"> e via e-mail e quindi via via implementata con l'apporto di tutti i componenti del CND e della Segretaria. Negli anni successivi fino a oggi questa originaria mappatura dei processi è stata ripetutamente oggetto di integrazioni e precisazioni.</w:t>
      </w:r>
    </w:p>
    <w:p w14:paraId="271A4370" w14:textId="77777777" w:rsidR="000847E5" w:rsidRPr="00A10D09" w:rsidRDefault="000847E5" w:rsidP="00086533">
      <w:pPr>
        <w:suppressAutoHyphens w:val="0"/>
        <w:spacing w:line="276" w:lineRule="auto"/>
        <w:jc w:val="both"/>
        <w:rPr>
          <w:rFonts w:asciiTheme="minorHAnsi" w:eastAsiaTheme="minorHAnsi" w:hAnsiTheme="minorHAnsi" w:cstheme="minorHAnsi"/>
          <w:bCs/>
          <w:i/>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processi del CND sono distinti secondo la classificazione proposta nel PNA 2019. Detto PNA, accanto alle principali attività a rischio, riguardanti tutti gli enti, prevede tre aree di rischio specifiche per gli ordini e collegi professionali, delle quali si è tenuto conto nelle attività di mappatura, valutazione e trattamento di cui sopra (come già era stato fatto nei PTPCT precedenti), e precisamente:</w:t>
      </w:r>
    </w:p>
    <w:p w14:paraId="3599F8DA" w14:textId="77777777" w:rsidR="000847E5" w:rsidRPr="00A10D09" w:rsidRDefault="000847E5" w:rsidP="00086533">
      <w:pPr>
        <w:numPr>
          <w:ilvl w:val="0"/>
          <w:numId w:val="14"/>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i/>
          <w:iCs/>
          <w:color w:val="auto"/>
          <w:kern w:val="0"/>
          <w:sz w:val="22"/>
          <w:szCs w:val="22"/>
          <w:lang w:eastAsia="en-US"/>
        </w:rPr>
        <w:t>Formazione professionale continua</w:t>
      </w:r>
      <w:r w:rsidRPr="00A10D09">
        <w:rPr>
          <w:rFonts w:asciiTheme="minorHAnsi" w:eastAsiaTheme="minorHAnsi" w:hAnsiTheme="minorHAnsi" w:cstheme="minorHAnsi"/>
          <w:bCs/>
          <w:color w:val="auto"/>
          <w:kern w:val="0"/>
          <w:sz w:val="22"/>
          <w:szCs w:val="22"/>
          <w:lang w:eastAsia="en-US"/>
        </w:rPr>
        <w:t>. Per il CND quest’area risulta a rischio particolarmente basso. Infatti, la formazione professionale è realizzata dal Consiglio Nazionale del Notariato mediante la Fondazione Italiana del Notariato. È a tali enti che spettano l’esame e la valutazione delle offerte formative e l’attribuzione dei crediti formativi professionali agli iscritti, nonché la vigilanza sugli enti terzi autorizzati all’erogazione della formazione.</w:t>
      </w:r>
    </w:p>
    <w:p w14:paraId="6EECA2E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compiti attribuiti ai Consigli notarili distrettuali dal Regolamento sulla formazione professionale permanente dei notai, pubblicato sul Bollettino Ufficiale del Ministero della Giustizia del 31 dicembre 2013, consistono in attività meramente operative e non discrezionali, come la registrazione dei crediti formativi nella banca dati e la verifica dei casi di dispensa dall’obbligo di formazione permanente, sulla base di criteri oggettivi e codificati dal citato Regolamento.</w:t>
      </w:r>
    </w:p>
    <w:p w14:paraId="073169DC" w14:textId="77777777" w:rsidR="000847E5" w:rsidRPr="00A10D09" w:rsidRDefault="000847E5" w:rsidP="00086533">
      <w:pPr>
        <w:suppressAutoHyphens w:val="0"/>
        <w:spacing w:line="276" w:lineRule="auto"/>
        <w:jc w:val="both"/>
        <w:rPr>
          <w:rFonts w:asciiTheme="minorHAnsi" w:eastAsiaTheme="minorHAnsi" w:hAnsiTheme="minorHAnsi" w:cstheme="minorHAnsi"/>
          <w:bCs/>
          <w:i/>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quanto riguarda l’organizzazione di eventi di formazione sul territorio, si dà atto che dal 2016 è attiva a Bolzano l’associazione culturale </w:t>
      </w:r>
      <w:r w:rsidRPr="00A10D09">
        <w:rPr>
          <w:rFonts w:asciiTheme="minorHAnsi" w:eastAsiaTheme="minorHAnsi" w:hAnsiTheme="minorHAnsi" w:cstheme="minorHAnsi"/>
          <w:bCs/>
          <w:i/>
          <w:iCs/>
          <w:color w:val="auto"/>
          <w:kern w:val="0"/>
          <w:sz w:val="22"/>
          <w:szCs w:val="22"/>
          <w:lang w:eastAsia="en-US"/>
        </w:rPr>
        <w:t>Studiorum</w:t>
      </w:r>
      <w:r w:rsidRPr="00A10D09">
        <w:rPr>
          <w:rFonts w:asciiTheme="minorHAnsi" w:eastAsiaTheme="minorHAnsi" w:hAnsiTheme="minorHAnsi" w:cstheme="minorHAnsi"/>
          <w:bCs/>
          <w:color w:val="auto"/>
          <w:kern w:val="0"/>
          <w:sz w:val="22"/>
          <w:szCs w:val="22"/>
          <w:lang w:eastAsia="en-US"/>
        </w:rPr>
        <w:t>, la quale promuove eventi di formazione specificamente dedicati ad argomenti di interesse notarile, riconosciuti dalla Fondazione Italiana del Notariato come idonei all’attribuzione di crediti formativi professionali. Pertanto, considerato che l’offerta formativa notarile nel proprio Distretto appare adeguata sia sotto il profilo quantitativo che sotto il profilo qualitativo, il CND di Bolzano non ha necessità di farsi promotore di ulteriori eventi formativi.</w:t>
      </w:r>
    </w:p>
    <w:p w14:paraId="0DB6C16A" w14:textId="77777777" w:rsidR="000847E5" w:rsidRPr="00A10D09" w:rsidRDefault="000847E5" w:rsidP="00086533">
      <w:pPr>
        <w:numPr>
          <w:ilvl w:val="0"/>
          <w:numId w:val="14"/>
        </w:numPr>
        <w:suppressAutoHyphens w:val="0"/>
        <w:spacing w:line="276" w:lineRule="auto"/>
        <w:jc w:val="both"/>
        <w:rPr>
          <w:rFonts w:asciiTheme="minorHAnsi" w:eastAsiaTheme="minorHAnsi" w:hAnsiTheme="minorHAnsi" w:cstheme="minorHAnsi"/>
          <w:bCs/>
          <w:i/>
          <w:iCs/>
          <w:color w:val="auto"/>
          <w:kern w:val="0"/>
          <w:sz w:val="22"/>
          <w:szCs w:val="22"/>
          <w:lang w:eastAsia="en-US"/>
        </w:rPr>
      </w:pPr>
      <w:r w:rsidRPr="00A10D09">
        <w:rPr>
          <w:rFonts w:asciiTheme="minorHAnsi" w:eastAsiaTheme="minorHAnsi" w:hAnsiTheme="minorHAnsi" w:cstheme="minorHAnsi"/>
          <w:bCs/>
          <w:i/>
          <w:iCs/>
          <w:color w:val="auto"/>
          <w:kern w:val="0"/>
          <w:sz w:val="22"/>
          <w:szCs w:val="22"/>
          <w:lang w:eastAsia="en-US"/>
        </w:rPr>
        <w:t>Rilascio di pareri di congruità</w:t>
      </w:r>
      <w:r w:rsidRPr="00A10D09">
        <w:rPr>
          <w:rFonts w:asciiTheme="minorHAnsi" w:eastAsiaTheme="minorHAnsi" w:hAnsiTheme="minorHAnsi" w:cstheme="minorHAnsi"/>
          <w:bCs/>
          <w:color w:val="auto"/>
          <w:kern w:val="0"/>
          <w:sz w:val="22"/>
          <w:szCs w:val="22"/>
          <w:lang w:eastAsia="en-US"/>
        </w:rPr>
        <w:t>. Nella seduta del 9 giugno 2016 il CND di Bolzano ha approvato un proprio “Regolamento per il rilascio di pareri di congruità sui corrispettivi”, adottato quale misura di prevenzione del rischio sulla base del PTPC 2016-2018, misura che appare idonea a ridurre adeguatamente la possibilità di eventi rischiosi.</w:t>
      </w:r>
    </w:p>
    <w:p w14:paraId="3726C498" w14:textId="77777777" w:rsidR="000847E5" w:rsidRPr="00A10D09" w:rsidRDefault="000847E5" w:rsidP="00086533">
      <w:pPr>
        <w:numPr>
          <w:ilvl w:val="0"/>
          <w:numId w:val="14"/>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i/>
          <w:iCs/>
          <w:color w:val="auto"/>
          <w:kern w:val="0"/>
          <w:sz w:val="22"/>
          <w:szCs w:val="22"/>
          <w:lang w:eastAsia="en-US"/>
        </w:rPr>
        <w:t>Indicazione di professionisti per l'affidamento di incarichi specifici</w:t>
      </w:r>
      <w:r w:rsidRPr="00A10D09">
        <w:rPr>
          <w:rFonts w:asciiTheme="minorHAnsi" w:eastAsiaTheme="minorHAnsi" w:hAnsiTheme="minorHAnsi" w:cstheme="minorHAnsi"/>
          <w:bCs/>
          <w:color w:val="auto"/>
          <w:kern w:val="0"/>
          <w:sz w:val="22"/>
          <w:szCs w:val="22"/>
          <w:lang w:eastAsia="en-US"/>
        </w:rPr>
        <w:t>. Non è previsto da alcuna norma che il CND di Bolzano possa venire interpellato per la nomina, a qualunque titolo, di notai ai quali conferire incarichi.</w:t>
      </w:r>
    </w:p>
    <w:p w14:paraId="6550C0D3" w14:textId="4B7C8F61"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lang w:eastAsia="en-US"/>
        </w:rPr>
        <w:t>A seguito dell'aggregazione dei processi, nel PTPC</w:t>
      </w:r>
      <w:r w:rsidR="004A061D" w:rsidRPr="00A10D09">
        <w:rPr>
          <w:rFonts w:asciiTheme="minorHAnsi" w:eastAsiaTheme="minorHAnsi" w:hAnsiTheme="minorHAnsi" w:cstheme="minorHAnsi"/>
          <w:bCs/>
          <w:color w:val="auto"/>
          <w:kern w:val="0"/>
          <w:sz w:val="22"/>
          <w:szCs w:val="22"/>
          <w:lang w:eastAsia="en-US"/>
        </w:rPr>
        <w:t>T</w:t>
      </w:r>
      <w:r w:rsidRPr="00A10D09">
        <w:rPr>
          <w:rFonts w:asciiTheme="minorHAnsi" w:eastAsiaTheme="minorHAnsi" w:hAnsiTheme="minorHAnsi" w:cstheme="minorHAnsi"/>
          <w:bCs/>
          <w:color w:val="auto"/>
          <w:kern w:val="0"/>
          <w:sz w:val="22"/>
          <w:szCs w:val="22"/>
          <w:lang w:eastAsia="en-US"/>
        </w:rPr>
        <w:t xml:space="preserve"> risultano le seguenti “aree”:</w:t>
      </w:r>
    </w:p>
    <w:p w14:paraId="66025509" w14:textId="77777777" w:rsidR="000847E5" w:rsidRPr="00A10D09" w:rsidRDefault="000847E5" w:rsidP="00086533">
      <w:pPr>
        <w:numPr>
          <w:ilvl w:val="0"/>
          <w:numId w:val="15"/>
        </w:numPr>
        <w:suppressAutoHyphens w:val="0"/>
        <w:spacing w:line="276" w:lineRule="auto"/>
        <w:jc w:val="both"/>
        <w:rPr>
          <w:rFonts w:asciiTheme="minorHAnsi" w:eastAsiaTheme="minorHAnsi" w:hAnsiTheme="minorHAnsi" w:cstheme="minorHAnsi"/>
          <w:b/>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u w:val="single"/>
          <w:lang w:eastAsia="en-US"/>
        </w:rPr>
        <w:t>aree generali</w:t>
      </w:r>
      <w:r w:rsidRPr="00A10D09">
        <w:rPr>
          <w:rFonts w:asciiTheme="minorHAnsi" w:eastAsiaTheme="minorHAnsi" w:hAnsiTheme="minorHAnsi" w:cstheme="minorHAnsi"/>
          <w:bCs/>
          <w:color w:val="auto"/>
          <w:kern w:val="0"/>
          <w:sz w:val="22"/>
          <w:szCs w:val="22"/>
          <w:lang w:eastAsia="en-US"/>
        </w:rPr>
        <w:t xml:space="preserve"> (indicate dall’art. 1, comma 16, della Legge 190/2012 e dal PNA 2019): Provvedimenti ampliativi della sfera giuridica dei destinatari privi di effetto economico diretto ed immediato per il destinatario, Provvedimenti ampliativi della sfera giuridica dei destinatari con effetto economico diretto ed immediato per il destinatario, Contratti Pubblici (ex affidamento di lavori, servizi e </w:t>
      </w:r>
      <w:r w:rsidRPr="00A10D09">
        <w:rPr>
          <w:rFonts w:asciiTheme="minorHAnsi" w:eastAsiaTheme="minorHAnsi" w:hAnsiTheme="minorHAnsi" w:cstheme="minorHAnsi"/>
          <w:bCs/>
          <w:color w:val="auto"/>
          <w:kern w:val="0"/>
          <w:sz w:val="22"/>
          <w:szCs w:val="22"/>
          <w:lang w:eastAsia="en-US"/>
        </w:rPr>
        <w:lastRenderedPageBreak/>
        <w:t>forniture), Acquisizione e gestione del personale (ex acquisizione e alla progressione del personale), Gestione delle entrate, delle spese e del patrimonio, Controlli, verifiche, ispezioni e sanzioni, Incarichi e nomine, Affari legali e contenzioso;</w:t>
      </w:r>
    </w:p>
    <w:p w14:paraId="02853A2D" w14:textId="77777777" w:rsidR="000847E5" w:rsidRPr="00A10D09" w:rsidRDefault="000847E5" w:rsidP="00086533">
      <w:pPr>
        <w:suppressAutoHyphens w:val="0"/>
        <w:spacing w:line="276" w:lineRule="auto"/>
        <w:jc w:val="both"/>
        <w:rPr>
          <w:rFonts w:asciiTheme="minorHAnsi" w:eastAsiaTheme="minorHAnsi" w:hAnsiTheme="minorHAnsi" w:cstheme="minorHAnsi"/>
          <w:color w:val="auto"/>
          <w:kern w:val="0"/>
          <w:sz w:val="22"/>
          <w:szCs w:val="22"/>
          <w:lang w:eastAsia="en-US"/>
        </w:rPr>
      </w:pPr>
      <w:r w:rsidRPr="00A10D09">
        <w:rPr>
          <w:rFonts w:asciiTheme="minorHAnsi" w:eastAsiaTheme="minorHAnsi" w:hAnsiTheme="minorHAnsi" w:cstheme="minorHAnsi"/>
          <w:color w:val="auto"/>
          <w:kern w:val="0"/>
          <w:sz w:val="22"/>
          <w:szCs w:val="22"/>
          <w:lang w:eastAsia="en-US"/>
        </w:rPr>
        <w:t>il presente PTPCT non considera le attività di autorizzazione o concessione, in quanto non rientrano nelle competenze del CND di Bolzano;</w:t>
      </w:r>
    </w:p>
    <w:p w14:paraId="4C158625" w14:textId="77777777" w:rsidR="000847E5" w:rsidRPr="00A10D09" w:rsidRDefault="000847E5" w:rsidP="00086533">
      <w:pPr>
        <w:numPr>
          <w:ilvl w:val="0"/>
          <w:numId w:val="1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u w:val="single"/>
          <w:lang w:eastAsia="en-US"/>
        </w:rPr>
        <w:t>aree ulteriori</w:t>
      </w:r>
      <w:r w:rsidRPr="00A10D09">
        <w:rPr>
          <w:rFonts w:asciiTheme="minorHAnsi" w:eastAsiaTheme="minorHAnsi" w:hAnsiTheme="minorHAnsi" w:cstheme="minorHAnsi"/>
          <w:bCs/>
          <w:color w:val="auto"/>
          <w:kern w:val="0"/>
          <w:sz w:val="22"/>
          <w:szCs w:val="22"/>
          <w:lang w:eastAsia="en-US"/>
        </w:rPr>
        <w:t xml:space="preserve"> (altre aree che fanno riferimento alla peculiare organizzazione dell'ente e alle attività proprie del medesimo): Formazione professionale continua, Rilascio di pareri di congruità e altri pareri, Indicazione di professionisti per l’affidamento di incarichi specifici.</w:t>
      </w:r>
    </w:p>
    <w:p w14:paraId="70C8235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62ED56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DBCC3B5"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3. LA VALUTAZIONE DEL RISCHIO</w:t>
      </w:r>
    </w:p>
    <w:p w14:paraId="1359332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8" w:name="__RefHeading___Toc3500_539215896"/>
      <w:bookmarkEnd w:id="8"/>
      <w:r w:rsidRPr="00A10D09">
        <w:rPr>
          <w:rFonts w:asciiTheme="minorHAnsi" w:eastAsiaTheme="minorHAnsi" w:hAnsiTheme="minorHAnsi" w:cstheme="minorHAnsi"/>
          <w:b/>
          <w:bCs/>
          <w:color w:val="auto"/>
          <w:kern w:val="0"/>
          <w:sz w:val="22"/>
          <w:szCs w:val="22"/>
          <w:lang w:eastAsia="en-US"/>
        </w:rPr>
        <w:t>3.1. Il registro degli eventi rischiosi</w:t>
      </w:r>
    </w:p>
    <w:p w14:paraId="600B1EF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mappatura dei processi, sopra descritta, consente l'individuazione del contesto entro cui deve essere sviluppata la valutazione del rischio. Alla mappatura dei processi consegue quindi la valutazione del rischio, che consiste nella ricerca, identificazione, analisi e ponderazione degli eventi rischiosi operativi ipotetici. Tali attività consentono di individuare le priorità di intervento e le possibili misure correttive/preventive (di trattamento del rischio). Per evento rischioso si intende l'effetto dell'incertezza sul corretto perseguimento dell'interesse pubblico e, quindi, sull'obiettivo istituzionale dell'ente, dovuto alla possibilità che si verifichi un dato evento. Per evento si intende il verificarsi o il modificarsi di un insieme di circostanze che si frappongono o si oppongono al perseguimento dell'obiettivo istituzionale dell'ente. </w:t>
      </w:r>
    </w:p>
    <w:p w14:paraId="25B03A2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Anche questa fondamentale macro-fase della valutazione dei rischi è stata condotta coinvolgendo l'intera struttura del CND, ossia i componenti del Consiglio e della Segreteria.</w:t>
      </w:r>
    </w:p>
    <w:p w14:paraId="74B4DCF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L'attività di identificazione dei rischi richiede che per ciascun processo (o eventualmente sua fase) siano fatti emergere i possibili rischi operativi di maladministration. Questi emergono considerando – come è stato fatto - il contesto esterno (cioè i rapporti fra il CND e PP.AA. o altri enti oppure associazioni di categoria anche locali) e interno all'ente (cioè considerando la struttura organizzativa, ma anche altri fattori, come, ad es., eventuali precedenti procedure disciplinari o giudiziarie, peraltro assenti nella realtà del CND di Bolzano). L'analisi del rischio include la valutazione della probabilità che il rischio si realizzi e dell'impatto (ossia delle conseguenze) che il rischio produce, per giungere alla determinazione del livello del rischio, che ne definisce la “pericolosità” per l'ente. </w:t>
      </w:r>
    </w:p>
    <w:p w14:paraId="598EAD6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Tenendo in considerazione la dimensione organizzativa ridotta, la struttura semplice e le competenze, risorse e attività limitate del CND, oggetto dell'analisi costituiscono di norma i singoli processi e soltanto in alcuni singoli casi le singole attività che compongono il processo. Non si esclude che successivamente l'analisi si concentri più dettagliatamente su singole attività, ove ciò si dimostri utile in base al costante monitoraggio eseguito.</w:t>
      </w:r>
    </w:p>
    <w:p w14:paraId="51A00E6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Quanto alle tecniche e fonti informative selezionate, accanto alle risultanze delle fasi precedenti (analisi del contesto e mappatura dei processi), l'analisi ha avuto a oggetto soprattutto le risultanze dell'attività di monitoraggio eseguita negli ultimi anni, documenti (utilizzati ovvero prodotti dal Consiglio, come ad esempio i verbali delle riunioni del Consiglio e dell'assemblea collegiale, documentazione contrattuale, contabile ecc.), </w:t>
      </w:r>
      <w:r w:rsidRPr="00A10D09">
        <w:rPr>
          <w:rFonts w:asciiTheme="minorHAnsi" w:eastAsiaTheme="minorHAnsi" w:hAnsiTheme="minorHAnsi" w:cstheme="minorHAnsi"/>
          <w:bCs/>
          <w:color w:val="auto"/>
          <w:kern w:val="0"/>
          <w:sz w:val="22"/>
          <w:szCs w:val="22"/>
          <w:lang w:eastAsia="en-US"/>
        </w:rPr>
        <w:lastRenderedPageBreak/>
        <w:t>colloqui e incontri con i componenti del Consiglio e della Segreteria, mentre non sono stati riscontrati casi di corruzione o segnalazione.</w:t>
      </w:r>
    </w:p>
    <w:p w14:paraId="0456780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Gli eventi rischiosi così identificati sono poi stati formalizzati e documentati mediante la predisposizione di un registro degli eventi rischiosi, che viene allegato al presente PTPCT. </w:t>
      </w:r>
    </w:p>
    <w:p w14:paraId="0446F41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L'analisi del rischio consente in primo luogo una più dettagliata analisi dei fattori abilitanti (ossia i fattori di contesto che agevolano il verificarsi di comportamenti o fatti di corruzione) e in secondo luogo la stima del livello di esposizione al rischio seguendo i principi guida sopra richiamati che stanno alla base della redazione dell'intero PTPCT. </w:t>
      </w:r>
    </w:p>
    <w:p w14:paraId="310DF60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la stima del livello di esposizione, per la prima volta, nel PTPCT 2021-2023 è stato adottato un approccio valutativo di tipo qualitativo (come suggerito dal PNA 2019), mediante il quale l’esposizione al rischio è stimata in base a motivate valutazioni, espresse dai soggetti coinvolti nell’analisi, su specifici criteri, senza indicazione di termini numerici. A tal fine, come criteri di valutazione (o indicatori di stima del rischio) sono stati adottati il grado di discrezionalità, gli interessi esterni coinvolti, la trasparenza del processo, il grado di attuazione delle misure di trattamento. Dopo aver accertato l'assenza di procedimenti giudiziari e/o disciplinari precedenti o in corso a carico dei dipendenti dell'amministrazione nonché l'assenza di segnalazioni pervenute negli ultimi anni, si è proceduto all'analisi degli ulteriori dati in possesso del CND, sotto il coordinamento del RPCT. </w:t>
      </w:r>
    </w:p>
    <w:p w14:paraId="7FA38FA7" w14:textId="71A39CF5"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Tali attività hanno consentito la misurazione dei singoli indicatori e la valutazione del relativo livello di esposizione al rischio, utilizzando il suddetto approccio qualitativo. Ciò, infine, ha condotto alla valutazione complessiva finale dei singoli processi o attività oggetto di analisi, con formulazione di un giudizio sintetico. </w:t>
      </w:r>
    </w:p>
    <w:p w14:paraId="40CAED3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L'analisi del rischio è fondamentale per la cosiddetta ponderazione del rischio, il cui obiettivo è quello di «agevolare, sulla base degli esiti dell’analisi del rischio, i processi decisionali riguardo a quali rischi necessitano un trattamento e le relative priorità di attuazione», stabilendo, pertanto, le azioni da intraprendere e le priorità di trattamento dei rischi rilevati, attraverso il loro confronto. In altre parole, l'analisi del rischio consente di ottenere una classificazione degli eventi rischiosi secondo un livello di rischio più o meno elevato, in base al quale stabilire una priorità di intervento/trattamento dei rischi medesimi, attraverso l'associazione al singolo processo di specifiche misure (i processi più ad alto rischio debbono essere presidiati più di altri mediante l'implementazione di misure di prevenzione specifiche; cioè, in altri termini, il livello del rischio definisce la priorità di intervento), oltre che delle misure generali previste per legge.</w:t>
      </w:r>
    </w:p>
    <w:p w14:paraId="43FAE7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l’identificazione, l'analisi e la ponderazione dei rischi, le schede allegate ai precedenti PTPCT sono state rielaborate secondo le indicazioni dell'ultimo PNA, anche al fine di meglio evidenziare i processi maggiormente esposti al rischio di cattiva amministrazione.</w:t>
      </w:r>
    </w:p>
    <w:p w14:paraId="0B97383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353367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F169001"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4. IL TRATTAMENTO DEL RISCHIO</w:t>
      </w:r>
    </w:p>
    <w:p w14:paraId="3F9F4ABC" w14:textId="763A625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4.1. Osservazioni generali - Individuazione e programmazione delle misure generali e specifiche</w:t>
      </w:r>
    </w:p>
    <w:p w14:paraId="5D02D60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Alla fase di valutazione del rischio fa seguito la fase del trattamento del rischio, che comprende l'insieme delle attività coordinate per ridurre sia la probabilità che un dato rischio si verifichi sia il grado di impatto che il verificarsi del rischio potrebbe avere sull'organizzazione e il funzionamento dell'ente; fra queste attività, </w:t>
      </w:r>
      <w:r w:rsidRPr="00A10D09">
        <w:rPr>
          <w:rFonts w:asciiTheme="minorHAnsi" w:eastAsiaTheme="minorHAnsi" w:hAnsiTheme="minorHAnsi" w:cstheme="minorHAnsi"/>
          <w:bCs/>
          <w:i/>
          <w:color w:val="auto"/>
          <w:kern w:val="0"/>
          <w:sz w:val="22"/>
          <w:szCs w:val="22"/>
          <w:lang w:eastAsia="en-US"/>
        </w:rPr>
        <w:t xml:space="preserve">in </w:t>
      </w:r>
      <w:r w:rsidRPr="00A10D09">
        <w:rPr>
          <w:rFonts w:asciiTheme="minorHAnsi" w:eastAsiaTheme="minorHAnsi" w:hAnsiTheme="minorHAnsi" w:cstheme="minorHAnsi"/>
          <w:bCs/>
          <w:i/>
          <w:color w:val="auto"/>
          <w:kern w:val="0"/>
          <w:sz w:val="22"/>
          <w:szCs w:val="22"/>
          <w:lang w:eastAsia="en-US"/>
        </w:rPr>
        <w:lastRenderedPageBreak/>
        <w:t xml:space="preserve">primis, </w:t>
      </w:r>
      <w:r w:rsidRPr="00A10D09">
        <w:rPr>
          <w:rFonts w:asciiTheme="minorHAnsi" w:eastAsiaTheme="minorHAnsi" w:hAnsiTheme="minorHAnsi" w:cstheme="minorHAnsi"/>
          <w:bCs/>
          <w:color w:val="auto"/>
          <w:kern w:val="0"/>
          <w:sz w:val="22"/>
          <w:szCs w:val="22"/>
          <w:lang w:eastAsia="en-US"/>
        </w:rPr>
        <w:t>l'individuazione della più idonea misura specifica per la prevenzione/riduzione/eliminazione del rischio. I principi fondamentali utilizzati per una corretta gestione del rischio ai quali si fa riferimento nel presente documento, sono quelli declinati nel PNA e desunti dai Principi e linee guida UNI ISO 31000:2010, che rappresentano l'adozione nazionale, in lingua italiana, della norma internazionale ISO 31000 (edizione novembre 2009), elaborata dal Comitato tecnico ISO/TMB “Risk Management”.</w:t>
      </w:r>
    </w:p>
    <w:p w14:paraId="50D8B7A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 relazione alla loro portata, le misure possono definirsi “generali” quando si caratterizzano per la capacità di incidere sul sistema complessivo della prevenzione della corruzione, intervenendo in modo trasversale sull’intera amministrazione o ente; “specifiche” laddove incidono su problemi specifici individuati tramite l’analisi del rischio e pertanto devono essere ben contestualizzate rispetto all’amministrazione di riferimento. </w:t>
      </w:r>
    </w:p>
    <w:p w14:paraId="250B8DD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Anche la macro-fase del trattamento dei rischi è stata condotta coinvolgendo l'intera struttura del CND, ossia i componenti del Consiglio e della Segreteria. Concretamente si è cercato di implementare un sistema di misure coerente con i sistemi di controllo presenti, senza creare aggravi dei procedimenti interni, e orientato a valorizzare le strutture di vigilanza già esistenti, in un’ottica di ottimizzazione e coordinamento delle attività di controllo. Inoltre, come suggerito dal PNA 2019, si è cercato di evitare controlli meramente formali svolti in una logica di adempimento burocratico, preferendo, al contrario, controlli di tipo sostanziale. </w:t>
      </w:r>
    </w:p>
    <w:p w14:paraId="474C4B3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misure specifiche di trattamento del rischio individuate sono state suddivise nelle seguenti categorie, proposte dal PNA 2019: misure di controllo, misure di trasparenza, misure di definizione e promozione dell'etica e di standard di comportamento, misure di regolamentazione, misure di semplificazione, misure di formazione, misure di sensibilizzazione e partecipazione, misure di rotazione, misure di segnalazione e protezione, misure di disciplina del conflitto di interessi, misure di regolazione dei rapporti con i "rappresentanti di interessi particolari" (lobbies).</w:t>
      </w:r>
    </w:p>
    <w:p w14:paraId="54EE50F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particolare, le criticità rilevate in sede di analisi hanno portato all'individuazione concreta delle misure, tenendo in considerazione la presenza e adeguatezza di misure e/o controlli specifici pre-esistenti, la capacità di neutralizzare i fattori abilitanti il rischio, la sostenibilità economica e organizzativa nonché l'adattamento alle caratteristiche specifiche del CND. Tali misure sono state descritte concretamente indicandone le fasi e modalità di attuazione, i tempi di attuazione, i soggetti responsabili dell'attuazione e gli indicatori e target di monitoraggio. Il risultato è rappresentato in forma tabellare nell'Allegato "C" al presente PTPCT.</w:t>
      </w:r>
    </w:p>
    <w:p w14:paraId="42497E4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Costituiscono, invece, misure “generali” di prevenzione della corruzione, obbligatorie poiché previste espressamente dalla normativa vigente:</w:t>
      </w:r>
    </w:p>
    <w:p w14:paraId="25BB7869" w14:textId="6E1AE902" w:rsidR="00B62BF1"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Misure di imparzialità soggettiva dei funzionari pubblici - Misure sull'accesso/permanenza nell'incarico/carica pubblica</w:t>
      </w:r>
    </w:p>
    <w:p w14:paraId="4A160F5C" w14:textId="5FF48B24" w:rsidR="000847E5" w:rsidRPr="00A10D09" w:rsidRDefault="00B62BF1" w:rsidP="00086533">
      <w:pPr>
        <w:suppressAutoHyphens w:val="0"/>
        <w:spacing w:line="276" w:lineRule="auto"/>
        <w:ind w:firstLine="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w:t>
      </w:r>
      <w:r w:rsidR="000847E5" w:rsidRPr="00A10D09">
        <w:rPr>
          <w:rFonts w:asciiTheme="minorHAnsi" w:eastAsiaTheme="minorHAnsi" w:hAnsiTheme="minorHAnsi" w:cstheme="minorHAnsi"/>
          <w:bCs/>
          <w:color w:val="auto"/>
          <w:kern w:val="0"/>
          <w:sz w:val="22"/>
          <w:szCs w:val="22"/>
          <w:lang w:eastAsia="en-US"/>
        </w:rPr>
        <w:t>I doveri di comportamento</w:t>
      </w:r>
      <w:r w:rsidRPr="00A10D09">
        <w:rPr>
          <w:rFonts w:asciiTheme="minorHAnsi" w:eastAsiaTheme="minorHAnsi" w:hAnsiTheme="minorHAnsi" w:cstheme="minorHAnsi"/>
          <w:bCs/>
          <w:color w:val="auto"/>
          <w:kern w:val="0"/>
          <w:sz w:val="22"/>
          <w:szCs w:val="22"/>
          <w:lang w:eastAsia="en-US"/>
        </w:rPr>
        <w:t xml:space="preserve"> </w:t>
      </w:r>
      <w:r w:rsidR="000847E5" w:rsidRPr="00A10D09">
        <w:rPr>
          <w:rFonts w:asciiTheme="minorHAnsi" w:eastAsiaTheme="minorHAnsi" w:hAnsiTheme="minorHAnsi" w:cstheme="minorHAnsi"/>
          <w:bCs/>
          <w:color w:val="auto"/>
          <w:kern w:val="0"/>
          <w:sz w:val="22"/>
          <w:szCs w:val="22"/>
          <w:lang w:eastAsia="en-US"/>
        </w:rPr>
        <w:t>- L’adozione di un codice di comportamento settoriale</w:t>
      </w:r>
    </w:p>
    <w:p w14:paraId="4B582AB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b/>
        <w:t>- La rotazione straordinaria</w:t>
      </w:r>
    </w:p>
    <w:p w14:paraId="106B96B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b/>
        <w:t>- Il conflitto di interessi - L'astensione in caso di conflitto di interessi</w:t>
      </w:r>
    </w:p>
    <w:p w14:paraId="0A816AA2" w14:textId="3ECEDF9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Le inconferibilità/incompatibilità di incarichi, come previsto dal D.Lgs. 39/2013 e dagli atti dell'ANAC - Inconferibilità e incompatibilità per l'incarico di componente del Consiglio</w:t>
      </w:r>
    </w:p>
    <w:p w14:paraId="21E48A44"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L’adozione di adeguate misure per prevenire casi di incompatibilità di soggetti nella formazione di commissioni</w:t>
      </w:r>
    </w:p>
    <w:p w14:paraId="57991C22"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 Disciplina dello svolgimento di incarichi d'ufficio e di attività ed incarichi extra-istituzionali da parte dei componenti del Consiglio e dei dipendenti</w:t>
      </w:r>
    </w:p>
    <w:p w14:paraId="27D91E7E"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Divieti </w:t>
      </w:r>
      <w:r w:rsidRPr="00A10D09">
        <w:rPr>
          <w:rFonts w:asciiTheme="minorHAnsi" w:eastAsiaTheme="minorHAnsi" w:hAnsiTheme="minorHAnsi" w:cstheme="minorHAnsi"/>
          <w:bCs/>
          <w:i/>
          <w:iCs/>
          <w:color w:val="auto"/>
          <w:kern w:val="0"/>
          <w:sz w:val="22"/>
          <w:szCs w:val="22"/>
          <w:lang w:eastAsia="en-US"/>
        </w:rPr>
        <w:t>post-employment (Pantouflage/Revolving doors</w:t>
      </w:r>
      <w:r w:rsidRPr="00A10D09">
        <w:rPr>
          <w:rFonts w:asciiTheme="minorHAnsi" w:eastAsiaTheme="minorHAnsi" w:hAnsiTheme="minorHAnsi" w:cstheme="minorHAnsi"/>
          <w:bCs/>
          <w:color w:val="auto"/>
          <w:kern w:val="0"/>
          <w:sz w:val="22"/>
          <w:szCs w:val="22"/>
          <w:lang w:eastAsia="en-US"/>
        </w:rPr>
        <w:t>): disciplina dello svolgimento di attività successivamente alla cessazione del rapporto di lavoro (art. 53, comma 16-ter, D.Lgs. 165/2001)</w:t>
      </w:r>
    </w:p>
    <w:p w14:paraId="4F738EF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b/>
        <w:t>- I patti d'integrità - Rapporti tra il CND e i soggetti che con lo stesso instaurano rapporti</w:t>
      </w:r>
    </w:p>
    <w:p w14:paraId="1F4015E9"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Segnalazione di illeciti da parte di soggetti esterni e interni al CND; tutela accordata al soggetto interno segnalante (whistleblower)</w:t>
      </w:r>
    </w:p>
    <w:p w14:paraId="78955B5D" w14:textId="1969EBA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Misure di formazione - La formazione in materia di etica, integrità ed altre tematiche inerenti al rischio corruttivo</w:t>
      </w:r>
    </w:p>
    <w:p w14:paraId="14DF092E" w14:textId="0F81941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Misure di rotazione ordinaria - La rotazione del personale, ove esistente, nelle aree a rischio corruzione, se materialmente possibile</w:t>
      </w:r>
    </w:p>
    <w:p w14:paraId="4B6FF011" w14:textId="791A57CB"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Misure di trasparenza - L’adozione di adeguate misure di trasparenza (disciplinate dal D.Lgs. 33/2013, come </w:t>
      </w:r>
      <w:r w:rsidRPr="00A10D09">
        <w:rPr>
          <w:rFonts w:asciiTheme="minorHAnsi" w:eastAsiaTheme="minorHAnsi" w:hAnsiTheme="minorHAnsi" w:cstheme="minorHAnsi"/>
          <w:bCs/>
          <w:color w:val="auto"/>
          <w:kern w:val="0"/>
          <w:sz w:val="22"/>
          <w:szCs w:val="22"/>
          <w:lang w:eastAsia="en-US"/>
        </w:rPr>
        <w:tab/>
        <w:t>modificato dal D.Lgs. 97/2016)</w:t>
      </w:r>
    </w:p>
    <w:p w14:paraId="2059AB8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B15E403" w14:textId="28520873" w:rsidR="000847E5" w:rsidRPr="00A10D09" w:rsidRDefault="006A7294"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9" w:name="_Hlk65517615"/>
      <w:r w:rsidRPr="00A10D09">
        <w:rPr>
          <w:rFonts w:asciiTheme="minorHAnsi" w:eastAsiaTheme="minorHAnsi" w:hAnsiTheme="minorHAnsi" w:cstheme="minorHAnsi"/>
          <w:b/>
          <w:bCs/>
          <w:color w:val="auto"/>
          <w:kern w:val="0"/>
          <w:sz w:val="22"/>
          <w:szCs w:val="22"/>
          <w:lang w:eastAsia="en-US"/>
        </w:rPr>
        <w:t>4.</w:t>
      </w:r>
      <w:r w:rsidR="00166B53">
        <w:rPr>
          <w:rFonts w:asciiTheme="minorHAnsi" w:eastAsiaTheme="minorHAnsi" w:hAnsiTheme="minorHAnsi" w:cstheme="minorHAnsi"/>
          <w:b/>
          <w:bCs/>
          <w:color w:val="auto"/>
          <w:kern w:val="0"/>
          <w:sz w:val="22"/>
          <w:szCs w:val="22"/>
          <w:lang w:eastAsia="en-US"/>
        </w:rPr>
        <w:t>2</w:t>
      </w:r>
      <w:r w:rsidR="000847E5" w:rsidRPr="00A10D09">
        <w:rPr>
          <w:rFonts w:asciiTheme="minorHAnsi" w:eastAsiaTheme="minorHAnsi" w:hAnsiTheme="minorHAnsi" w:cstheme="minorHAnsi"/>
          <w:b/>
          <w:bCs/>
          <w:color w:val="auto"/>
          <w:kern w:val="0"/>
          <w:sz w:val="22"/>
          <w:szCs w:val="22"/>
          <w:lang w:eastAsia="en-US"/>
        </w:rPr>
        <w:t xml:space="preserve"> Misure di imparzialità soggettiva dei funzionari pubblici - Misure sull'accesso/permanenza nell'incarico/carica pubblica</w:t>
      </w:r>
      <w:bookmarkEnd w:id="9"/>
    </w:p>
    <w:p w14:paraId="01D900A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Preliminarmente si può osservare che misure sull'accesso/permanenza nell'incarico o nella carica pubblica sono previste da varie disposizioni di legge, tra cui in particolare:</w:t>
      </w:r>
    </w:p>
    <w:p w14:paraId="7CFA33D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legge 27 marzo 2001, n. 97 - Norme sul rapporto tra procedimento penale e procedimento disciplinare ed effetti del giudicato penale nei confronti dei dipendenti delle pubbliche amministrazioni, in materia di trasferimento del dipendente, sospensione dal servizio ed estinzione del rapporto di lavoro o di impiego; </w:t>
      </w:r>
    </w:p>
    <w:p w14:paraId="25A4D6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dall'art. 35-bis del d.lgs. 30 marzo 2001 n. 165, introdotto dall’art.1, comma 46, della legge 6 novembre 2012, n. 190 - Prevenzione della corruzione nella formazione di commissioni e delle assegnazioni agli uffici, in materia di inconferibilità di incarichi; </w:t>
      </w:r>
    </w:p>
    <w:p w14:paraId="3FD3DFE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dal d.lgs. 31 dicembre 2012, n. 235 - Testo unico delle disposizioni in materia di incandidabilità e di divieto di ricoprire cariche elettive e di Governo conseguenti a sentenze definitive di condanna per delitti non colposi, a norma dell'articolo 1, comma 63, della legge 6 novembre 2012, n. 19, in materia di conseguenze (incandidabilità, inconferibilità e decadenze da cariche elettive) derivanti da sentenze penali definitive; </w:t>
      </w:r>
    </w:p>
    <w:p w14:paraId="3E42B32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dall'art. 3 del decreto legislativo 8 aprile 2013, n. 39 - Disposizioni in materia di inconferibilità e incompatibilità di incarichi presso le pubbliche amministrazioni e presso gli enti privati in controllo pubblico, a norma dell'articolo 1, commi 49 e 50, della legge 6 novembre 2012, n. 190, in materia di inconferibilità e incompatibilità di incarichi dirigenziali nelle pubbliche amministrazioni, negli enti pubblici e negli enti di diritto privato in controllo pubblico;</w:t>
      </w:r>
    </w:p>
    <w:p w14:paraId="1FDEFAF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nuovo periodo dell’art. 129, comma 3, del decreto legislativo 28 luglio 1989, n. 271 - Norme di attuazione, di coordinamento e transitorie del codice di procedura penale, aggiunto dall’art. 7 della legge 7 maggio 2015, n. 69 - Disposizioni in materia di delitti contro la pubblica amministrazione, di associazioni di tipo mafioso e di falso in bilancio, secondo il quale il presidente di ANAC è destinatario delle informative del pubblico </w:t>
      </w:r>
      <w:r w:rsidRPr="00A10D09">
        <w:rPr>
          <w:rFonts w:asciiTheme="minorHAnsi" w:eastAsiaTheme="minorHAnsi" w:hAnsiTheme="minorHAnsi" w:cstheme="minorHAnsi"/>
          <w:bCs/>
          <w:color w:val="auto"/>
          <w:kern w:val="0"/>
          <w:sz w:val="22"/>
          <w:szCs w:val="22"/>
          <w:lang w:eastAsia="en-US"/>
        </w:rPr>
        <w:lastRenderedPageBreak/>
        <w:t>ministero quando quest’ultimo esercita l’azione penale per i delitti di cui agli articoli 317, 318, 319, 319-bis, 319-ter, 319-quater, 320, 321, 322, 322-bis, 346-bis, 353 e 353-bis del codice penale;</w:t>
      </w:r>
    </w:p>
    <w:p w14:paraId="484F9B5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art. 16, comma 1, lett. l-quater, del d.lgs. 30 marzo 2001 n. 165, in materia di rotazione straordinaria.</w:t>
      </w:r>
    </w:p>
    <w:p w14:paraId="31084EB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Inoltre, il CND di Bolzano adotta le seguenti misure in materia di accesso/permanenza nell'incarico/carica pubblica.</w:t>
      </w:r>
    </w:p>
    <w:p w14:paraId="5154A78F" w14:textId="61C84439" w:rsidR="000847E5" w:rsidRPr="00A10D09" w:rsidRDefault="00B62BF1"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r w:rsidRPr="00A10D09">
        <w:rPr>
          <w:rFonts w:asciiTheme="minorHAnsi" w:eastAsiaTheme="minorHAnsi" w:hAnsiTheme="minorHAnsi" w:cstheme="minorHAnsi"/>
          <w:b/>
          <w:color w:val="auto"/>
          <w:kern w:val="0"/>
          <w:sz w:val="22"/>
          <w:szCs w:val="22"/>
          <w:lang w:eastAsia="en-US"/>
        </w:rPr>
        <w:t xml:space="preserve">I doveri di comportamento - </w:t>
      </w:r>
      <w:r w:rsidR="000847E5" w:rsidRPr="00A10D09">
        <w:rPr>
          <w:rFonts w:asciiTheme="minorHAnsi" w:eastAsiaTheme="minorHAnsi" w:hAnsiTheme="minorHAnsi" w:cstheme="minorHAnsi"/>
          <w:b/>
          <w:color w:val="auto"/>
          <w:kern w:val="0"/>
          <w:sz w:val="22"/>
          <w:szCs w:val="22"/>
          <w:lang w:eastAsia="en-US"/>
        </w:rPr>
        <w:t>L’adozione di un codice di comportamento settoriale</w:t>
      </w:r>
    </w:p>
    <w:p w14:paraId="37ACE92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di Bolzano, ad integrazione e specificazione dei doveri minimi di diligenza, lealtà, imparzialità e buona condotta, contenuti nel D.P.R. 62/2013, ha adottato un proprio “Codice di comportamento”, approvato con delibera del 28.01.2016, il cui testo è pubblicato nella sezione “Amministrazione trasparente” del sito internet del CND (www.notai.bz.it).</w:t>
      </w:r>
    </w:p>
    <w:p w14:paraId="7F7831B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L'ANAC ha definito le prime Linee guida generali in materia di codici di comportamento settoriali con delibera n. 75 del 24 ottobre 2013 e si è riservata successivamente l’adozione di nuove linee guida per tipologia di enti, di prossima adozione. Entro sei mesi dall’emanazione delle linee guida per gli ordini professionali, il CND di Bolzano procederà all’adeguamento del proprio codice di comportamento.</w:t>
      </w:r>
    </w:p>
    <w:p w14:paraId="4118F39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vista di tale adeguamento e soprattutto allo scopo di redigere il codice di comportamento settoriale (tagliato sulle caratteristiche operative del CND di Bolzano), è stata effettuata una ricognizione delle misure di prevenzione specifiche, già individuate fino a oggi, che consistono in regole di condotta durature nel tempo e che possono pertanto essere trasfuse nel codice di comportamento.</w:t>
      </w:r>
    </w:p>
    <w:p w14:paraId="0169450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La rotazione straordinaria</w:t>
      </w:r>
    </w:p>
    <w:p w14:paraId="3E895B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L’istituto della rotazione c.d. straordinaria è misura di prevenzione della corruzione, prevista dall’art. 16, co. 1, lett. l-quater, del D.lgs. n. 165/2001, come misura di carattere successivo al verificarsi di fenomeni corruttivi. La norma citata prevede, infatti, la rotazione «del personale nei casi di avvio di procedimenti penali o disciplinari per condotte di natura corruttiva». Tale misura, c.d. rotazione straordinaria, solo nominalmente può associarsi all’istituto generale della rotazione c.d. ordinaria del personale.</w:t>
      </w:r>
    </w:p>
    <w:p w14:paraId="367DC9CA" w14:textId="54DD560A" w:rsidR="000847E5" w:rsidRPr="00A10D09" w:rsidRDefault="000847E5" w:rsidP="00086533">
      <w:pPr>
        <w:suppressAutoHyphens w:val="0"/>
        <w:spacing w:line="276" w:lineRule="auto"/>
        <w:jc w:val="both"/>
        <w:rPr>
          <w:rFonts w:asciiTheme="minorHAnsi" w:eastAsiaTheme="minorHAnsi" w:hAnsiTheme="minorHAnsi" w:cstheme="minorHAnsi"/>
          <w:bCs/>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Peraltro, come sarà precisato anche al successivo punto relativo alla rotazione c.d. ordinaria, allo stato attuale nel CND di Bolzano la rotazione non è realizzabile per il fatto che ci sono solamente due dipendenti, </w:t>
      </w:r>
      <w:r w:rsidR="00B62BF1" w:rsidRPr="00A10D09">
        <w:rPr>
          <w:rFonts w:asciiTheme="minorHAnsi" w:eastAsiaTheme="minorHAnsi" w:hAnsiTheme="minorHAnsi" w:cstheme="minorHAnsi"/>
          <w:bCs/>
          <w:color w:val="auto"/>
          <w:kern w:val="0"/>
          <w:sz w:val="22"/>
          <w:szCs w:val="22"/>
          <w:lang w:eastAsia="en-US"/>
        </w:rPr>
        <w:t xml:space="preserve">che svolgono </w:t>
      </w:r>
      <w:r w:rsidRPr="00A10D09">
        <w:rPr>
          <w:rFonts w:asciiTheme="minorHAnsi" w:eastAsiaTheme="minorHAnsi" w:hAnsiTheme="minorHAnsi" w:cstheme="minorHAnsi"/>
          <w:bCs/>
          <w:color w:val="auto"/>
          <w:kern w:val="0"/>
          <w:sz w:val="22"/>
          <w:szCs w:val="22"/>
          <w:lang w:eastAsia="en-US"/>
        </w:rPr>
        <w:t>le stesse mansioni di segreteria.</w:t>
      </w:r>
    </w:p>
    <w:p w14:paraId="7E648629" w14:textId="77777777" w:rsidR="000847E5" w:rsidRPr="00A10D09" w:rsidRDefault="000847E5" w:rsidP="00086533">
      <w:pPr>
        <w:suppressAutoHyphens w:val="0"/>
        <w:spacing w:line="276" w:lineRule="auto"/>
        <w:jc w:val="both"/>
        <w:rPr>
          <w:rFonts w:asciiTheme="minorHAnsi" w:eastAsiaTheme="minorHAnsi" w:hAnsiTheme="minorHAnsi" w:cstheme="minorHAnsi"/>
          <w:b/>
          <w:bCs/>
          <w:i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Il conflitto di interessi</w:t>
      </w:r>
      <w:r w:rsidRPr="00A10D09">
        <w:rPr>
          <w:rFonts w:asciiTheme="minorHAnsi" w:eastAsiaTheme="minorHAnsi" w:hAnsiTheme="minorHAnsi" w:cstheme="minorHAnsi"/>
          <w:b/>
          <w:bCs/>
          <w:iCs/>
          <w:color w:val="auto"/>
          <w:kern w:val="0"/>
          <w:sz w:val="22"/>
          <w:szCs w:val="22"/>
          <w:lang w:eastAsia="en-US"/>
        </w:rPr>
        <w:t xml:space="preserve"> - L’astensione in caso di conflitto di interessi</w:t>
      </w:r>
    </w:p>
    <w:p w14:paraId="717BBFF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L’obiettivo di scongiurare qualunque forma di conflitto di interesse, ancorché potenziale, è centrale nella normativa di prevenzione della </w:t>
      </w:r>
      <w:r w:rsidRPr="00A10D09">
        <w:rPr>
          <w:rFonts w:asciiTheme="minorHAnsi" w:eastAsiaTheme="minorHAnsi" w:hAnsiTheme="minorHAnsi" w:cstheme="minorHAnsi"/>
          <w:bCs/>
          <w:i/>
          <w:iCs/>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tanto da costituire il </w:t>
      </w:r>
      <w:r w:rsidRPr="00A10D09">
        <w:rPr>
          <w:rFonts w:asciiTheme="minorHAnsi" w:eastAsiaTheme="minorHAnsi" w:hAnsiTheme="minorHAnsi" w:cstheme="minorHAnsi"/>
          <w:bCs/>
          <w:i/>
          <w:iCs/>
          <w:color w:val="auto"/>
          <w:kern w:val="0"/>
          <w:sz w:val="22"/>
          <w:szCs w:val="22"/>
          <w:lang w:eastAsia="en-US"/>
        </w:rPr>
        <w:t>fil rouge</w:t>
      </w:r>
      <w:r w:rsidRPr="00A10D09">
        <w:rPr>
          <w:rFonts w:asciiTheme="minorHAnsi" w:eastAsiaTheme="minorHAnsi" w:hAnsiTheme="minorHAnsi" w:cstheme="minorHAnsi"/>
          <w:bCs/>
          <w:color w:val="auto"/>
          <w:kern w:val="0"/>
          <w:sz w:val="22"/>
          <w:szCs w:val="22"/>
          <w:lang w:eastAsia="en-US"/>
        </w:rPr>
        <w:t xml:space="preserve"> di tutte o quasi le misure di prevenzione, quantomeno generali.</w:t>
      </w:r>
    </w:p>
    <w:p w14:paraId="338138B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nozione di conflitto di interesse va desunta dall’art. 7 del D.P.R. 62/2013: “</w:t>
      </w:r>
      <w:r w:rsidRPr="00A10D09">
        <w:rPr>
          <w:rFonts w:asciiTheme="minorHAnsi" w:eastAsiaTheme="minorHAnsi" w:hAnsiTheme="minorHAnsi" w:cstheme="minorHAnsi"/>
          <w:bCs/>
          <w:i/>
          <w:iCs/>
          <w:color w:val="auto"/>
          <w:kern w:val="0"/>
          <w:sz w:val="22"/>
          <w:szCs w:val="22"/>
          <w:lang w:eastAsia="en-US"/>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r w:rsidRPr="00A10D09">
        <w:rPr>
          <w:rFonts w:asciiTheme="minorHAnsi" w:eastAsiaTheme="minorHAnsi" w:hAnsiTheme="minorHAnsi" w:cstheme="minorHAnsi"/>
          <w:bCs/>
          <w:color w:val="auto"/>
          <w:kern w:val="0"/>
          <w:sz w:val="22"/>
          <w:szCs w:val="22"/>
          <w:lang w:eastAsia="en-US"/>
        </w:rPr>
        <w:t>Come specificato più sotto, sull'astensione decide il Consiglio.</w:t>
      </w:r>
    </w:p>
    <w:p w14:paraId="7F6A467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lang w:eastAsia="en-US"/>
        </w:rPr>
        <w:lastRenderedPageBreak/>
        <w:t>Si può configurare un’incompatibilità rispetto:</w:t>
      </w:r>
    </w:p>
    <w:p w14:paraId="2B1DDF41" w14:textId="585A3A7B" w:rsidR="000847E5" w:rsidRPr="00A10D09" w:rsidRDefault="00B62BF1"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u w:val="single"/>
          <w:lang w:eastAsia="en-US"/>
        </w:rPr>
        <w:t xml:space="preserve">A) </w:t>
      </w:r>
      <w:r w:rsidR="000847E5" w:rsidRPr="00A10D09">
        <w:rPr>
          <w:rFonts w:asciiTheme="minorHAnsi" w:eastAsiaTheme="minorHAnsi" w:hAnsiTheme="minorHAnsi" w:cstheme="minorHAnsi"/>
          <w:bCs/>
          <w:color w:val="auto"/>
          <w:kern w:val="0"/>
          <w:sz w:val="22"/>
          <w:szCs w:val="22"/>
          <w:u w:val="single"/>
          <w:lang w:eastAsia="en-US"/>
        </w:rPr>
        <w:t>all’ufficio che si ricopre</w:t>
      </w:r>
    </w:p>
    <w:p w14:paraId="340A980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Esempi al riguardo sono la partecipazione ad associazioni e organizzazioni e gli interessi finanziari di cui all’art. 5 e 6 del Codice di comportamento adottato dal CND di Bolzano o, per i soli dipendenti, l’essere collaboratori di uno studio notarile.</w:t>
      </w:r>
    </w:p>
    <w:p w14:paraId="157829F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lang w:eastAsia="en-US"/>
        </w:rPr>
        <w:t>I componenti e i dipendenti del CND, rispettivamente all'atto della nomina o dell'assunzione, nonché i terzi (per via dell’estensione dell’ambito di applicazione del codice di comportamento anche a soggetti esterni) che partecipano a procedure di scelta del contraente per l'affidamento di contratti di lavori, servizi o forniture o, comunque, coloro i quali intrattengono rapporti contrattuali con il CND di Bolzano (es. consulenti e collaboratori) al momento della stipula del contratto, sottoscrivono una dichiarazione che attesti l'assenza di cause di conflitti di interesse, anche solo potenziali, rispetto alle attività e alle finalità istituzionali del CND.</w:t>
      </w:r>
    </w:p>
    <w:p w14:paraId="3DEE3974" w14:textId="1699E447" w:rsidR="000847E5" w:rsidRPr="00A10D09" w:rsidRDefault="00B62BF1"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u w:val="single"/>
          <w:lang w:eastAsia="en-US"/>
        </w:rPr>
        <w:t xml:space="preserve">B) </w:t>
      </w:r>
      <w:r w:rsidR="000847E5" w:rsidRPr="00A10D09">
        <w:rPr>
          <w:rFonts w:asciiTheme="minorHAnsi" w:eastAsiaTheme="minorHAnsi" w:hAnsiTheme="minorHAnsi" w:cstheme="minorHAnsi"/>
          <w:bCs/>
          <w:color w:val="auto"/>
          <w:kern w:val="0"/>
          <w:sz w:val="22"/>
          <w:szCs w:val="22"/>
          <w:u w:val="single"/>
          <w:lang w:eastAsia="en-US"/>
        </w:rPr>
        <w:t>alla singola pratica</w:t>
      </w:r>
      <w:r w:rsidR="000847E5" w:rsidRPr="00A10D09">
        <w:rPr>
          <w:rFonts w:asciiTheme="minorHAnsi" w:eastAsiaTheme="minorHAnsi" w:hAnsiTheme="minorHAnsi" w:cstheme="minorHAnsi"/>
          <w:bCs/>
          <w:color w:val="auto"/>
          <w:kern w:val="0"/>
          <w:sz w:val="22"/>
          <w:szCs w:val="22"/>
          <w:lang w:eastAsia="en-US"/>
        </w:rPr>
        <w:t>, in relazione alla quale si bisogna distinguere fra due ipotesi:</w:t>
      </w:r>
    </w:p>
    <w:p w14:paraId="771ED960" w14:textId="64304A61"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B1)</w:t>
      </w:r>
      <w:r w:rsidR="00B62BF1" w:rsidRPr="00A10D09">
        <w:rPr>
          <w:rFonts w:asciiTheme="minorHAnsi" w:eastAsiaTheme="minorHAnsi" w:hAnsiTheme="minorHAnsi" w:cstheme="minorHAnsi"/>
          <w:bCs/>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l’ipotesi in cui il soggetto non abbia, da solo o collegialmente, potere decisionale;</w:t>
      </w:r>
    </w:p>
    <w:p w14:paraId="75862797" w14:textId="0B5A71D9"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B2)</w:t>
      </w:r>
      <w:r w:rsidR="00B62BF1" w:rsidRPr="00A10D09">
        <w:rPr>
          <w:rFonts w:asciiTheme="minorHAnsi" w:eastAsiaTheme="minorHAnsi" w:hAnsiTheme="minorHAnsi" w:cstheme="minorHAnsi"/>
          <w:bCs/>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 xml:space="preserve">l’ipotesi in cui il soggetto abbia, da solo o collegialmente, potere decisionale, rispetto alla quale </w:t>
      </w:r>
      <w:r w:rsidR="00D2729C" w:rsidRPr="00A10D09">
        <w:rPr>
          <w:rFonts w:asciiTheme="minorHAnsi" w:eastAsiaTheme="minorHAnsi" w:hAnsiTheme="minorHAnsi" w:cstheme="minorHAnsi"/>
          <w:bCs/>
          <w:color w:val="auto"/>
          <w:kern w:val="0"/>
          <w:sz w:val="22"/>
          <w:szCs w:val="22"/>
          <w:lang w:eastAsia="en-US"/>
        </w:rPr>
        <w:t>l'</w:t>
      </w:r>
      <w:r w:rsidRPr="00A10D09">
        <w:rPr>
          <w:rFonts w:asciiTheme="minorHAnsi" w:eastAsiaTheme="minorHAnsi" w:hAnsiTheme="minorHAnsi" w:cstheme="minorHAnsi"/>
          <w:bCs/>
          <w:color w:val="auto"/>
          <w:kern w:val="0"/>
          <w:sz w:val="22"/>
          <w:szCs w:val="22"/>
          <w:lang w:eastAsia="en-US"/>
        </w:rPr>
        <w:t>art. 6</w:t>
      </w:r>
      <w:r w:rsidR="00D2729C"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color w:val="auto"/>
          <w:kern w:val="0"/>
          <w:sz w:val="22"/>
          <w:szCs w:val="22"/>
          <w:lang w:eastAsia="en-US"/>
        </w:rPr>
        <w:t xml:space="preserve">bis della Legge 241/1990, stabilisce che </w:t>
      </w:r>
      <w:r w:rsidRPr="00A10D09">
        <w:rPr>
          <w:rFonts w:asciiTheme="minorHAnsi" w:eastAsiaTheme="minorHAnsi" w:hAnsiTheme="minorHAnsi" w:cstheme="minorHAnsi"/>
          <w:bCs/>
          <w:i/>
          <w:color w:val="auto"/>
          <w:kern w:val="0"/>
          <w:sz w:val="22"/>
          <w:szCs w:val="22"/>
          <w:lang w:eastAsia="en-US"/>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36A9C57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entrambe le ipotesi sub B1) e B2) la regola di condotta è la seguente: segnalazione scritta al Consiglio e astensione in attesa della risposta scritta del Consiglio.</w:t>
      </w:r>
    </w:p>
    <w:p w14:paraId="2A09389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violazione del dovere di segnalazione scritta al Consiglio dà luogo a responsabilità disciplinare. La violazione dell’obbligo di astensione in attesa della risposta scritta del Consiglio nell’ipotesi sub B1) è fonte di responsabilità disciplinare, mentre nell’ipotesi sub B2), dato l’esercizio del potere decisionale, può dar luogo a vizio di legittimità dell’atto assunto con la partecipazione del soggetto che avrebbe dovuto astenersi.</w:t>
      </w:r>
    </w:p>
    <w:p w14:paraId="3ECC512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Conformemente quindi a quanto previsto dalla normativa anticorruzione, e come specificato dal Codice di comportamento dei dipendenti pubblici (D.P.R. 62/2013), dal PNA e dal Codice di comportamento adottato dal CND di Bolzano, i componenti e i dipendenti del CND, nello svolgimento delle attività istituzionali, e, per via dell’estensione dell’ambito di applicazione del codice di comportamento, anche i soggetti esterni (che operano in nome e per conto del CND di Bolzano o che prestano attività di consulenza o collaborazione), che ritengano di trovarsi in una delle condizioni idonee a configurare un conflitto di interesse, anche solo potenziale, sono tenuti a darne tempestiva comunicazione scritta al Consiglio. Il Consiglio risponderà per iscritto sollevando il componente/dipendente dall'incarico, limitatamente all’attività in conflitto, o motivando espressamente le ragioni che ne consentono comunque l'espletamento.</w:t>
      </w:r>
    </w:p>
    <w:p w14:paraId="3F7037AD"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10" w:name="_Hlk65073210"/>
      <w:r w:rsidRPr="00A10D09">
        <w:rPr>
          <w:rFonts w:asciiTheme="minorHAnsi" w:eastAsiaTheme="minorHAnsi" w:hAnsiTheme="minorHAnsi" w:cstheme="minorHAnsi"/>
          <w:b/>
          <w:bCs/>
          <w:color w:val="auto"/>
          <w:kern w:val="0"/>
          <w:sz w:val="22"/>
          <w:szCs w:val="22"/>
          <w:lang w:eastAsia="en-US"/>
        </w:rPr>
        <w:t>Le inconferibilità/incompatibilità di incarichi, come previsto dal D.Lgs. 39/2013 e dagli atti dell'ANAC - Inconferibilità e incompatibilità per l'incarico di componente del Consiglio</w:t>
      </w:r>
    </w:p>
    <w:bookmarkEnd w:id="10"/>
    <w:p w14:paraId="4F14BA7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disciplina delle incompatibilità e delle inconferibilità degli incarichi nelle amministrazioni pubbliche e negli enti comunque soggetti a tale normativa è disciplinata dal D.Lgs. 39/2013.</w:t>
      </w:r>
    </w:p>
    <w:p w14:paraId="69435B0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AL CND si applicano altresì i seguenti atti dell'ANAC:</w:t>
      </w:r>
    </w:p>
    <w:p w14:paraId="5807DA8E" w14:textId="77777777" w:rsidR="000847E5" w:rsidRPr="00A10D09" w:rsidRDefault="000847E5" w:rsidP="00086533">
      <w:pPr>
        <w:numPr>
          <w:ilvl w:val="0"/>
          <w:numId w:val="2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delibera n. 1 del 9 gennaio 2015: Interpretazione e applicazione del decreto legislativo n. 39/2013, con particolare riguardo alle cause di incompatibilità tra il mandato parlamentare e lo svolgimento di cariche di natura elettiva ricoperte all'interno degli ordini professionali (delibera integralmente sostituita dalla delibera n. 8/2015).</w:t>
      </w:r>
    </w:p>
    <w:p w14:paraId="40587093" w14:textId="77777777" w:rsidR="000847E5" w:rsidRPr="00A10D09" w:rsidRDefault="000847E5" w:rsidP="00086533">
      <w:pPr>
        <w:numPr>
          <w:ilvl w:val="0"/>
          <w:numId w:val="2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delibera n. 8 del 21 gennaio 2015: Interpretazione e applicazione del decreto legislativo n. 39/2013, con particolare riguardo alle cause di incompatibilità tra il mandato parlamentare e lo svolgimento di cariche di natura elettiva ricoperte all'interno degli ordini professionali.</w:t>
      </w:r>
    </w:p>
    <w:p w14:paraId="1BE37BF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Del D.Lgs. 39/2013 al CND si applicano segnatamente gli articoli 3, 4, 7, 9 e 11.</w:t>
      </w:r>
    </w:p>
    <w:p w14:paraId="01176DE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 Legge Notarile, i membri del Consiglio sono eletti fra i notai esercenti nel distretto, restano in carica tre anni e possono essere rieletti. I membri del Consiglio sono rinnovati per un terzo in ciascun anno, giusta l’ordine di anzianità di nomina. Le elezioni dei membri del Consiglio si fanno a schede segrete durante l’assemblea del collegio.</w:t>
      </w:r>
    </w:p>
    <w:p w14:paraId="7AE0E39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Nella convocazione dell'assemblea del collegio chiamata a eleggere membri del Consiglio, il Presidente avrà cura di informare i notai del collegio circa l'obbligo, a carico degli eletti, di presentare la dichiarazione di cui sotto e inviterà pertanto chi voglia candidarsi all’elezione nel Consiglio a prendere conoscenza di tale dichiarazione, che dovrà essere sottoscritta e consegnata al RPCT in caso di avvenuta elezione.</w:t>
      </w:r>
    </w:p>
    <w:p w14:paraId="208888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dell'art. 18, comma 3, e 20 del D.Lgs. 39/2013 e della delibera ANAC n. 833/2016:</w:t>
      </w:r>
    </w:p>
    <w:p w14:paraId="30DEF30F" w14:textId="77777777" w:rsidR="000847E5" w:rsidRPr="00A10D09" w:rsidRDefault="000847E5" w:rsidP="00086533">
      <w:pPr>
        <w:numPr>
          <w:ilvl w:val="0"/>
          <w:numId w:val="4"/>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prima dell'accettazione della nomina per elezione a componente del Consiglio, l'interessato presenta una dichiarazione sulla insussistenza di una delle cause di inconferibilità (e incompatibilità ab origine) di cui allo stesso decreto; tale dichiarazione è condizione di efficacia della nomina, è resa ai sensi dell'art. 47 del DPR 445/2000 (sulla base di un modello predisposto dal RPCT) e dev’essere completa anche delle informazioni in merito a ogni carica e/o incarico in atto o avuti negli ultimi due anni; nella prima seduta successiva, il Consiglio, acquisita tale dichiarazione e compiuti gli opportuni accertamenti, confermerà l'efficacia della nomina;</w:t>
      </w:r>
    </w:p>
    <w:p w14:paraId="741F660E" w14:textId="77777777" w:rsidR="000847E5" w:rsidRPr="00A10D09" w:rsidRDefault="000847E5" w:rsidP="00086533">
      <w:pPr>
        <w:numPr>
          <w:ilvl w:val="0"/>
          <w:numId w:val="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componente del Consiglio presenta annualmente, entro il 28 febbraio, una dichiarazione sulla insussistenza di una delle cause di incompatibilità di cui al D.Lgs. 39/2013;</w:t>
      </w:r>
    </w:p>
    <w:p w14:paraId="739B1E98" w14:textId="77777777" w:rsidR="000847E5" w:rsidRPr="00A10D09" w:rsidRDefault="000847E5" w:rsidP="00086533">
      <w:pPr>
        <w:numPr>
          <w:ilvl w:val="0"/>
          <w:numId w:val="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dichiarazioni di cui sopra sono pubblicate nel sito internet del CND, sezione “Amministrazione trasparente / Organi di indirizzo politico-amministrativo”;</w:t>
      </w:r>
    </w:p>
    <w:p w14:paraId="20F1A2A2" w14:textId="77777777" w:rsidR="000847E5" w:rsidRPr="00A10D09" w:rsidRDefault="000847E5" w:rsidP="00086533">
      <w:pPr>
        <w:numPr>
          <w:ilvl w:val="0"/>
          <w:numId w:val="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ferma restando ogni altra responsabilità, la dichiarazione mendace, accertata dal Consiglio, nel rispetto del diritto di difesa e del contraddittorio dell'interessato, comporta la inconferibilità di qualsivoglia incarico di cui al D.Lgs. 39/2013 per un periodo di 5 anni.</w:t>
      </w:r>
    </w:p>
    <w:p w14:paraId="70F8EC9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 nel corso dell'incarico sopraggiunge una causa di inconferibilità o di incompatibilità contemplata dal D.Lgs. 39/2013, il componente del CND è obbligato a darne comunicazione scritta al Consiglio, tempestivamente e comunque entro 10 giorni.</w:t>
      </w:r>
    </w:p>
    <w:p w14:paraId="1899C24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dell'art. 15 del D.Lgs. 39/2013 e della delibera ANAC n. 833/2016, il RPCT vigila sul rispetto della normativa sopra richiamata e contesta all'interessato l'esistenza o l'insorgere delle situazioni di inconferibilità o incompatibilità.</w:t>
      </w:r>
    </w:p>
    <w:p w14:paraId="0EC242A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L'adozione di adeguate misure per prevenire casi di incompatibilità di soggetti nella formazione di commissioni</w:t>
      </w:r>
    </w:p>
    <w:p w14:paraId="4D84DA9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Ai componenti e ai dipendenti del CND si applica, in quanto compatibile, l'art. 1, comma 46, della Legge 190/2012, che stabilisce che a coloro che sono stati condannati, anche con sentenza non passata in giudicato, per i reati contro la P.A. è fatto divieto di:</w:t>
      </w:r>
    </w:p>
    <w:p w14:paraId="7CC384DC" w14:textId="77777777" w:rsidR="000847E5" w:rsidRPr="00A10D09" w:rsidRDefault="000847E5" w:rsidP="00086533">
      <w:pPr>
        <w:numPr>
          <w:ilvl w:val="0"/>
          <w:numId w:val="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far parte, anche con compiti di segreteria, di commissioni per l'accesso o per la selezione del personale;</w:t>
      </w:r>
    </w:p>
    <w:p w14:paraId="73CCE53A" w14:textId="77777777" w:rsidR="000847E5" w:rsidRPr="00A10D09" w:rsidRDefault="000847E5" w:rsidP="00086533">
      <w:pPr>
        <w:numPr>
          <w:ilvl w:val="0"/>
          <w:numId w:val="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essere assegnati, anche con funzioni direttive, agli uffici preposti alla gestione delle risorse finanziarie, all'acquisizione di beni, servizi e forniture;</w:t>
      </w:r>
    </w:p>
    <w:p w14:paraId="1682E546" w14:textId="77777777" w:rsidR="000847E5" w:rsidRPr="00A10D09" w:rsidRDefault="000847E5" w:rsidP="00086533">
      <w:pPr>
        <w:numPr>
          <w:ilvl w:val="0"/>
          <w:numId w:val="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far parte di commissioni per la scelta del contraente per l'affidamento di lavori, forniture e servizi.</w:t>
      </w:r>
    </w:p>
    <w:p w14:paraId="36A2640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disposizione di cui sopra integra le leggi e regolamenti che disciplinano la formazione di commissioni e la nomina dei relativi segretari.</w:t>
      </w:r>
    </w:p>
    <w:p w14:paraId="0EE34F5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fini dell'applicazione di questa norma:</w:t>
      </w:r>
    </w:p>
    <w:p w14:paraId="416748F8" w14:textId="77777777" w:rsidR="000847E5" w:rsidRPr="00A10D09" w:rsidRDefault="000847E5" w:rsidP="00086533">
      <w:pPr>
        <w:numPr>
          <w:ilvl w:val="0"/>
          <w:numId w:val="2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contratti di assunzione del CND di Bolzano dovranno contenere l'espressa dichiarazione da parte del dipendente circa l'assenza di condanne, anche con sentenza non passata in giudicato, per reati previsti dal Capo I del Titolo II del Libro II del Codice penale;</w:t>
      </w:r>
    </w:p>
    <w:p w14:paraId="32672ACF" w14:textId="77777777" w:rsidR="000847E5" w:rsidRPr="00A10D09" w:rsidRDefault="000847E5" w:rsidP="00086533">
      <w:pPr>
        <w:numPr>
          <w:ilvl w:val="0"/>
          <w:numId w:val="2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componente/dipendente del CND che venga condannato, anche con sentenza non passata in giudicato, per reati contro la P.A., è obbligato a dare comunicazione scritta al Consiglio entro 10 giorni.</w:t>
      </w:r>
    </w:p>
    <w:p w14:paraId="10764A2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1" w:name="_Hlk65073250"/>
      <w:r w:rsidRPr="00A10D09">
        <w:rPr>
          <w:rFonts w:asciiTheme="minorHAnsi" w:eastAsiaTheme="minorHAnsi" w:hAnsiTheme="minorHAnsi" w:cstheme="minorHAnsi"/>
          <w:b/>
          <w:bCs/>
          <w:color w:val="auto"/>
          <w:kern w:val="0"/>
          <w:sz w:val="22"/>
          <w:szCs w:val="22"/>
          <w:lang w:eastAsia="en-US"/>
        </w:rPr>
        <w:t>Disciplina dello svolgimento di incarichi d'ufficio e di attività ed incarichi extra-istituzionali da parte dei componenti del Consiglio e dei dipendenti</w:t>
      </w:r>
    </w:p>
    <w:bookmarkEnd w:id="11"/>
    <w:p w14:paraId="25081C3B" w14:textId="77777777" w:rsidR="000847E5" w:rsidRPr="00A10D09" w:rsidRDefault="000847E5" w:rsidP="00086533">
      <w:pPr>
        <w:suppressAutoHyphens w:val="0"/>
        <w:spacing w:line="276" w:lineRule="auto"/>
        <w:jc w:val="both"/>
        <w:rPr>
          <w:rFonts w:asciiTheme="minorHAnsi" w:eastAsiaTheme="minorHAnsi" w:hAnsiTheme="minorHAnsi" w:cstheme="minorHAnsi"/>
          <w:bCs/>
          <w:i/>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 del Consiglio, in quanto notai, sono già soggetti alle incompatibilità di cui all'art. 2 della Legge Notarile:</w:t>
      </w:r>
    </w:p>
    <w:p w14:paraId="432FB749" w14:textId="77777777" w:rsidR="000847E5" w:rsidRPr="00A10D09" w:rsidRDefault="000847E5" w:rsidP="00086533">
      <w:pPr>
        <w:suppressAutoHyphens w:val="0"/>
        <w:spacing w:line="276" w:lineRule="auto"/>
        <w:jc w:val="both"/>
        <w:rPr>
          <w:rFonts w:asciiTheme="minorHAnsi" w:eastAsiaTheme="minorHAnsi" w:hAnsiTheme="minorHAnsi" w:cstheme="minorHAnsi"/>
          <w:bCs/>
          <w:i/>
          <w:color w:val="auto"/>
          <w:kern w:val="0"/>
          <w:sz w:val="22"/>
          <w:szCs w:val="22"/>
          <w:lang w:eastAsia="en-US"/>
        </w:rPr>
      </w:pPr>
      <w:r w:rsidRPr="00A10D09">
        <w:rPr>
          <w:rFonts w:asciiTheme="minorHAnsi" w:eastAsiaTheme="minorHAnsi" w:hAnsiTheme="minorHAnsi" w:cstheme="minorHAnsi"/>
          <w:bCs/>
          <w:i/>
          <w:color w:val="auto"/>
          <w:kern w:val="0"/>
          <w:sz w:val="22"/>
          <w:szCs w:val="22"/>
          <w:lang w:eastAsia="en-US"/>
        </w:rPr>
        <w:t>“L'ufficio di notaro è incompatibile con qualunque impiego stipendiato o retribuito dallo Stato, dalle Province e dai Comuni aventi una popolazione superiore ai 5000 abitanti, con la professione di avvocato, di procuratore, di direttore di banca, di commerciante, di mediatore, agente di cambio o sensale, di ricevitore del lotto, di esattore di tributi o incaricato della gestione esattoriale e con la qualità di Ministro di qualunque culto.</w:t>
      </w:r>
    </w:p>
    <w:p w14:paraId="189739A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i/>
          <w:color w:val="auto"/>
          <w:kern w:val="0"/>
          <w:sz w:val="22"/>
          <w:szCs w:val="22"/>
          <w:lang w:eastAsia="en-US"/>
        </w:rPr>
        <w:t>Sono eccettuati da questa disposizione gl'impieghi puramente letterari o scientifici, dipendenti da accademie, biblioteche, musei ed altri istituti di scienze, lettere ed arti; gl'impieghi ed uffici dipendenti da istituti od opere di beneficenza; quelli relativi a pubblico insegnamento; quelli di subeconomo dei benefici vacanti e l'esercizio del patrocinio legale presso gli uffici di pretura”.</w:t>
      </w:r>
    </w:p>
    <w:p w14:paraId="7C8C4044" w14:textId="77777777" w:rsidR="000847E5" w:rsidRPr="00A10D09" w:rsidRDefault="000847E5" w:rsidP="00086533">
      <w:pPr>
        <w:suppressAutoHyphens w:val="0"/>
        <w:spacing w:line="276" w:lineRule="auto"/>
        <w:jc w:val="both"/>
        <w:rPr>
          <w:rFonts w:asciiTheme="minorHAnsi" w:eastAsiaTheme="minorHAnsi" w:hAnsiTheme="minorHAnsi" w:cstheme="minorHAnsi"/>
          <w:bCs/>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quanto riguarda i dipendenti, viene stabilita la necessità della previa autorizzazione da parte del Consiglio circa lo svolgimento di attività retribuite extra-servizio. In ogni caso, il personale dipendente non può svolgere altra attività lavorativa che possa integrare un conflitto di interesse (ad esempio collaborazione con uno studio notarile o fattispecie di cui all’art. 4, comma 6, del D.P.R. 62/2013) o che possa comportare una violazione dei limiti di orario lavorativo previsti dalla legge.</w:t>
      </w:r>
    </w:p>
    <w:p w14:paraId="77A496D6" w14:textId="77777777" w:rsidR="000847E5" w:rsidRPr="00A10D09" w:rsidRDefault="000847E5"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r w:rsidRPr="00A10D09">
        <w:rPr>
          <w:rFonts w:asciiTheme="minorHAnsi" w:eastAsiaTheme="minorHAnsi" w:hAnsiTheme="minorHAnsi" w:cstheme="minorHAnsi"/>
          <w:b/>
          <w:color w:val="auto"/>
          <w:kern w:val="0"/>
          <w:sz w:val="22"/>
          <w:szCs w:val="22"/>
          <w:lang w:eastAsia="en-US"/>
        </w:rPr>
        <w:t xml:space="preserve">Divieti </w:t>
      </w:r>
      <w:r w:rsidRPr="00A10D09">
        <w:rPr>
          <w:rFonts w:asciiTheme="minorHAnsi" w:eastAsiaTheme="minorHAnsi" w:hAnsiTheme="minorHAnsi" w:cstheme="minorHAnsi"/>
          <w:b/>
          <w:i/>
          <w:iCs/>
          <w:color w:val="auto"/>
          <w:kern w:val="0"/>
          <w:sz w:val="22"/>
          <w:szCs w:val="22"/>
          <w:lang w:eastAsia="en-US"/>
        </w:rPr>
        <w:t>post-employment (Pantouflage/Revolving doors</w:t>
      </w:r>
      <w:r w:rsidRPr="00A10D09">
        <w:rPr>
          <w:rFonts w:asciiTheme="minorHAnsi" w:eastAsiaTheme="minorHAnsi" w:hAnsiTheme="minorHAnsi" w:cstheme="minorHAnsi"/>
          <w:b/>
          <w:color w:val="auto"/>
          <w:kern w:val="0"/>
          <w:sz w:val="22"/>
          <w:szCs w:val="22"/>
          <w:lang w:eastAsia="en-US"/>
        </w:rPr>
        <w:t>): disciplina dello svolgimento di attività successivamente alla cessazione del rapporto di lavoro (art. 53, comma 16-ter, D.Lgs. 165/2001)</w:t>
      </w:r>
    </w:p>
    <w:p w14:paraId="003B951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L'ambito della norma è riferito ai componenti/dipendenti che nel corso degli ultimi tre anni di servizio abbiano esercitato poteri negoziali per conto del CND di Bolzano con riferimento allo svolgimento di attività presso i soggetti privati destinatari di contratti o accordi.</w:t>
      </w:r>
    </w:p>
    <w:p w14:paraId="08D45F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attuazione dell'art. 53, comma 16</w:t>
      </w:r>
      <w:r w:rsidRPr="00A10D09">
        <w:rPr>
          <w:rFonts w:asciiTheme="minorHAnsi" w:eastAsiaTheme="minorHAnsi" w:hAnsiTheme="minorHAnsi" w:cstheme="minorHAnsi"/>
          <w:bCs/>
          <w:i/>
          <w:color w:val="auto"/>
          <w:kern w:val="0"/>
          <w:sz w:val="22"/>
          <w:szCs w:val="22"/>
          <w:lang w:eastAsia="en-US"/>
        </w:rPr>
        <w:t>-ter</w:t>
      </w:r>
      <w:r w:rsidRPr="00A10D09">
        <w:rPr>
          <w:rFonts w:asciiTheme="minorHAnsi" w:eastAsiaTheme="minorHAnsi" w:hAnsiTheme="minorHAnsi" w:cstheme="minorHAnsi"/>
          <w:bCs/>
          <w:color w:val="auto"/>
          <w:kern w:val="0"/>
          <w:sz w:val="22"/>
          <w:szCs w:val="22"/>
          <w:lang w:eastAsia="en-US"/>
        </w:rPr>
        <w:t>, D.Lgs. 165/2001, i componenti/dipendenti che negli ultimi tre anni di servizio abbiano esercitato poteri negoziali per conto del CND non potranno svolgere, nei tre anni successivi alla cessazione della carica ovvero del rapporto di impiego, attività lavorativa o professionale presso i soggetti privati destinatari dell'attività del CND svolta attraverso i medesimi poteri.</w:t>
      </w:r>
    </w:p>
    <w:p w14:paraId="5666C65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Detta disposizione prevede la nullità dei contratti conclusi e degli incarichi conferiti in violazione di quanto previsto e il divieto per i soggetti privati che li hanno conclusi o conferiti di contrattare con (tutte) le pubbliche amministrazioni per i successivi tre anni, con obbligo di restituzione dei compensi eventualmente percepiti e accertati ad essi riferiti.</w:t>
      </w:r>
    </w:p>
    <w:p w14:paraId="3FD3C7B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Ciò posto, si prevede che:</w:t>
      </w:r>
    </w:p>
    <w:p w14:paraId="3AA0C8E3" w14:textId="77777777" w:rsidR="000847E5" w:rsidRPr="00A10D09" w:rsidRDefault="000847E5" w:rsidP="00086533">
      <w:pPr>
        <w:numPr>
          <w:ilvl w:val="0"/>
          <w:numId w:val="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dipendenti, i contratti di assunzione del CND di Bolzano dovranno contenere la clausola concernente i divieti sopra richiamati;</w:t>
      </w:r>
    </w:p>
    <w:p w14:paraId="45478268" w14:textId="77777777" w:rsidR="000847E5" w:rsidRPr="00A10D09" w:rsidRDefault="000847E5" w:rsidP="00086533">
      <w:pPr>
        <w:numPr>
          <w:ilvl w:val="0"/>
          <w:numId w:val="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componenti, gli stessi, contestualmente alla dichiarazione di cui al punto 4.4 (assenza di cause di inconferibilità), dovranno sottoscrivere l'impegno a rispettare i divieti sopra richiamati;</w:t>
      </w:r>
    </w:p>
    <w:p w14:paraId="6362B6BB" w14:textId="77777777" w:rsidR="000847E5" w:rsidRPr="00A10D09" w:rsidRDefault="000847E5" w:rsidP="00086533">
      <w:pPr>
        <w:numPr>
          <w:ilvl w:val="0"/>
          <w:numId w:val="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terzi che partecipano a procedure di scelta del contraente per l'affidamento di contratti di lavori, servizi o forniture o, comunque, coloro i quali intrattengono rapporti contrattuali con il CND di Bolzano, gli stessi sono tenuti a rendere una dichiarazione nella quale attestino di non avere alle proprie dipendenze ex componenti/dipendenti cessati dal rapporto con il CND, che nei tre anni precedenti la cessazione abbiano esercitato poteri negoziali nei confronti del soggetto per il quale prestano la propria attività lavorativa a qualsiasi titolo. Si prevede, in caso di violazione della citata disposizione contrattuale, l'esclusione dalle procedure di affidamento dei soggetti interessati.</w:t>
      </w:r>
    </w:p>
    <w:p w14:paraId="4049809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2" w:name="_Hlk65073547"/>
      <w:r w:rsidRPr="00A10D09">
        <w:rPr>
          <w:rFonts w:asciiTheme="minorHAnsi" w:eastAsiaTheme="minorHAnsi" w:hAnsiTheme="minorHAnsi" w:cstheme="minorHAnsi"/>
          <w:b/>
          <w:bCs/>
          <w:color w:val="auto"/>
          <w:kern w:val="0"/>
          <w:sz w:val="22"/>
          <w:szCs w:val="22"/>
          <w:lang w:eastAsia="en-US"/>
        </w:rPr>
        <w:t>I patti d'integrità - Rapporti tra il CND e i soggetti che con lo stesso instaurano rapporti</w:t>
      </w:r>
    </w:p>
    <w:bookmarkEnd w:id="12"/>
    <w:p w14:paraId="5ED6973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di Bolzano, ai sensi dell'art. 1, comma 9, lett. e), della Legge 190/2012, è tenuto a monitorare i rapporti con i soggetti con esso contraenti, anche verificando eventuali relazioni di parentela o affinità sussistenti tra i titolari, gli amministratori, i soci e i dipendenti degli stessi soggetti e i componenti/dipendenti del CND.</w:t>
      </w:r>
    </w:p>
    <w:p w14:paraId="6972FC1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 tal fine, nelle procedure di affidamento di lavori, servizi e forniture, si adottano le seguenti misure di prevenzione specifica:</w:t>
      </w:r>
    </w:p>
    <w:p w14:paraId="7B3D7DD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1. nelle gare per affidamenti superiori a 2.000 euro, verbalizzare nell'ambito della prima seduta la dichiarazione dei componenti delle commissioni di gara circa l'inesistenza di eventuali rapporti o relazioni di parentela con i soggetti partecipanti alla stessa (il verbale va sottoscritto da tutti i componenti la commissione);</w:t>
      </w:r>
    </w:p>
    <w:p w14:paraId="011123CF" w14:textId="77777777" w:rsidR="000847E5" w:rsidRPr="00A10D09" w:rsidRDefault="000847E5" w:rsidP="00086533">
      <w:pPr>
        <w:suppressAutoHyphens w:val="0"/>
        <w:spacing w:line="276" w:lineRule="auto"/>
        <w:jc w:val="both"/>
        <w:rPr>
          <w:rFonts w:asciiTheme="minorHAnsi" w:eastAsiaTheme="minorHAnsi" w:hAnsiTheme="minorHAnsi" w:cstheme="minorHAnsi"/>
          <w:bCs/>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2. imporre la sottoscrizione di un “patto di integrità” ai soggetti che partecipano a procedure per l'affidamento di lavori, servizi o forniture o che, comunque, ricevono i predetti affidamenti </w:t>
      </w:r>
      <w:r w:rsidRPr="00A10D09">
        <w:rPr>
          <w:rFonts w:asciiTheme="minorHAnsi" w:eastAsiaTheme="minorHAnsi" w:hAnsiTheme="minorHAnsi" w:cstheme="minorHAnsi"/>
          <w:bCs/>
          <w:i/>
          <w:iCs/>
          <w:color w:val="auto"/>
          <w:kern w:val="0"/>
          <w:sz w:val="22"/>
          <w:szCs w:val="22"/>
          <w:lang w:eastAsia="en-US"/>
        </w:rPr>
        <w:t>recta via</w:t>
      </w:r>
      <w:r w:rsidRPr="00A10D09">
        <w:rPr>
          <w:rFonts w:asciiTheme="minorHAnsi" w:eastAsiaTheme="minorHAnsi" w:hAnsiTheme="minorHAnsi" w:cstheme="minorHAnsi"/>
          <w:bCs/>
          <w:color w:val="auto"/>
          <w:kern w:val="0"/>
          <w:sz w:val="22"/>
          <w:szCs w:val="22"/>
          <w:lang w:eastAsia="en-US"/>
        </w:rPr>
        <w:t xml:space="preserve">, per importi superiori a 2.000 euro, che li obbliga – pena l'esclusione dalla procedura o la risoluzione del contratto e il risarcimento del danno – al rispetto: a) della normativa sulla prevenzione della corruzione; b) dei principi e delle misure di prevenzione della corruzione previste nel presente PTPCT; c) di quanto previsto nel Codice </w:t>
      </w:r>
      <w:r w:rsidRPr="00A10D09">
        <w:rPr>
          <w:rFonts w:asciiTheme="minorHAnsi" w:eastAsiaTheme="minorHAnsi" w:hAnsiTheme="minorHAnsi" w:cstheme="minorHAnsi"/>
          <w:bCs/>
          <w:color w:val="auto"/>
          <w:kern w:val="0"/>
          <w:sz w:val="22"/>
          <w:szCs w:val="22"/>
          <w:lang w:eastAsia="en-US"/>
        </w:rPr>
        <w:lastRenderedPageBreak/>
        <w:t>di comportamento adottato dal CND di Bolzano (rispetto al quale si richiama l’attenzione circa l’obbligo di segnalazione di un conflitto di interesse).</w:t>
      </w:r>
    </w:p>
    <w:p w14:paraId="0EFDB00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Segnalazione di illeciti da parte di soggetti esterni e interni al CND; tutela accordata al soggetto interno segnalante (</w:t>
      </w:r>
      <w:r w:rsidRPr="00A10D09">
        <w:rPr>
          <w:rFonts w:asciiTheme="minorHAnsi" w:eastAsiaTheme="minorHAnsi" w:hAnsiTheme="minorHAnsi" w:cstheme="minorHAnsi"/>
          <w:b/>
          <w:bCs/>
          <w:i/>
          <w:color w:val="auto"/>
          <w:kern w:val="0"/>
          <w:sz w:val="22"/>
          <w:szCs w:val="22"/>
          <w:lang w:eastAsia="en-US"/>
        </w:rPr>
        <w:t>whistleblower</w:t>
      </w:r>
      <w:r w:rsidRPr="00A10D09">
        <w:rPr>
          <w:rFonts w:asciiTheme="minorHAnsi" w:eastAsiaTheme="minorHAnsi" w:hAnsiTheme="minorHAnsi" w:cstheme="minorHAnsi"/>
          <w:b/>
          <w:bCs/>
          <w:color w:val="auto"/>
          <w:kern w:val="0"/>
          <w:sz w:val="22"/>
          <w:szCs w:val="22"/>
          <w:lang w:eastAsia="en-US"/>
        </w:rPr>
        <w:t>)</w:t>
      </w:r>
    </w:p>
    <w:p w14:paraId="3557620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Ferma restando la competenza del Consiglio (prevista dalla Legge Notarile) a ricevere segnalazioni di illeciti compiuti dai notai, ai fini dell'emersione di illeciti riguardanti l’ente CND, i componenti del Consiglio, i dipendenti del CND e tutti coloro che hanno avuto rapporti con il CND possono inoltrare segnalazioni:</w:t>
      </w:r>
    </w:p>
    <w:p w14:paraId="7457DE4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alla casella e-mail rpc.notai.bz@niederfriniger.it</w:t>
      </w:r>
    </w:p>
    <w:p w14:paraId="69F7091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oppure direttamente</w:t>
      </w:r>
    </w:p>
    <w:p w14:paraId="4523CD7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al Consiglio in busta chiusa con l'indicazione “Riservata al Responsabile della prevenzione della corruzione e della trasparenza”.</w:t>
      </w:r>
    </w:p>
    <w:p w14:paraId="098ECEA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segnalazione deve riportare le generalità del segnalante e le indicazioni richieste nell'apposito modulo reso disponibile sul sito internet del CND, sezione “Amministrazione trasparente / Altri contenuti / Prevenzione della corruzione – Segnalazione illeciti” (http://notai.bz.it/amm-trasparente/modulo-per-la-segnalazione-di-illeciti/). Il Consiglio, confermando quando stabilito nel precedente PTPCT, nell’approvare il presente PTPCT ha deliberato che le segnalazioni anonime non saranno prese in considerazione.</w:t>
      </w:r>
    </w:p>
    <w:p w14:paraId="469A0CB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prende in considerazione le segnalazioni, se presentano elementi tali da consentire l'avvio della fase istruttoria/indagine.</w:t>
      </w:r>
    </w:p>
    <w:p w14:paraId="1EE6CFF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svolge la relativa indagine in assoluta riservatezza e nella tutela dell'anonimato del segnalante. Qualora egli però giudicasse necessario chiedere la collaborazione di altri soggetti del CND, questi ultimi sono tenuti ai medesimi obblighi di riservatezza e tutela dell'anonimato, la cui violazione è fonte di responsabilità disciplinare ed eventualmente anche civile e penale.</w:t>
      </w:r>
    </w:p>
    <w:p w14:paraId="17C486B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tutela dell'anonimato è soggetta ai seguenti limiti: nell'ambito dell'eventuale procedimento instauratosi a seguito della segnalazione, l'identità del segnalante non può essere rivelata senza il suo consenso, sempre che la contestazione dell'addebito disciplinare sia fondata su accertamenti distinti e ulteriori rispetto alla segnalazione; qualora la contestazione sia fondata, invece, in tutto o in parte, sulla segnalazione, l'identità può essere rivelata ove la sua conoscenza sia assolutamente indispensabile per la difesa dell'incolpato.</w:t>
      </w:r>
    </w:p>
    <w:p w14:paraId="697070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segnalazione è sottratta al diritto di accesso ai documenti, previsto dagli artt. 22 ss. della Legge 241/1990.</w:t>
      </w:r>
    </w:p>
    <w:p w14:paraId="199F42B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È fatta salva la perseguibilità per responsabilità penali per calunnia e diffamazione e civili per il risarcimento del danno ingiustamente cagionato.</w:t>
      </w:r>
    </w:p>
    <w:p w14:paraId="0DCE295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Oltre che al RPCT del CND con le modalità di cui sopra, la segnalazione può essere inoltrata all'autorità giudiziaria e/o all'ANAC.</w:t>
      </w:r>
    </w:p>
    <w:p w14:paraId="39159CF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Una particolare tutela contro forme di ritorsione da parte di colleghi o superiori è accordata al soggetto interno (componente del Consiglio o dipendente del CND) segnalante (</w:t>
      </w:r>
      <w:r w:rsidRPr="00A10D09">
        <w:rPr>
          <w:rFonts w:asciiTheme="minorHAnsi" w:eastAsiaTheme="minorHAnsi" w:hAnsiTheme="minorHAnsi" w:cstheme="minorHAnsi"/>
          <w:bCs/>
          <w:i/>
          <w:color w:val="auto"/>
          <w:kern w:val="0"/>
          <w:sz w:val="22"/>
          <w:szCs w:val="22"/>
          <w:lang w:eastAsia="en-US"/>
        </w:rPr>
        <w:t>whistleblower</w:t>
      </w:r>
      <w:r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i/>
          <w:color w:val="auto"/>
          <w:kern w:val="0"/>
          <w:sz w:val="22"/>
          <w:szCs w:val="22"/>
          <w:lang w:eastAsia="en-US"/>
        </w:rPr>
        <w:t>.</w:t>
      </w:r>
      <w:r w:rsidRPr="00A10D09">
        <w:rPr>
          <w:rFonts w:asciiTheme="minorHAnsi" w:eastAsiaTheme="minorHAnsi" w:hAnsiTheme="minorHAnsi" w:cstheme="minorHAnsi"/>
          <w:bCs/>
          <w:color w:val="auto"/>
          <w:kern w:val="0"/>
          <w:sz w:val="22"/>
          <w:szCs w:val="22"/>
          <w:lang w:eastAsia="en-US"/>
        </w:rPr>
        <w:t xml:space="preserve"> Al riguardo l'art. 1, comma 51, della Legge 190/2012 ha introdotto un nuovo articolo nell'ambito del D.Lgs. 165/2001, l'art. 54 bis, rubricato “Tutela del dipendente pubblico che segnala illeciti” (c.d. </w:t>
      </w:r>
      <w:r w:rsidRPr="00A10D09">
        <w:rPr>
          <w:rFonts w:asciiTheme="minorHAnsi" w:eastAsiaTheme="minorHAnsi" w:hAnsiTheme="minorHAnsi" w:cstheme="minorHAnsi"/>
          <w:bCs/>
          <w:i/>
          <w:iCs/>
          <w:color w:val="auto"/>
          <w:kern w:val="0"/>
          <w:sz w:val="22"/>
          <w:szCs w:val="22"/>
          <w:lang w:eastAsia="en-US"/>
        </w:rPr>
        <w:t>whistleblower</w:t>
      </w:r>
      <w:r w:rsidRPr="00A10D09">
        <w:rPr>
          <w:rFonts w:asciiTheme="minorHAnsi" w:eastAsiaTheme="minorHAnsi" w:hAnsiTheme="minorHAnsi" w:cstheme="minorHAnsi"/>
          <w:bCs/>
          <w:color w:val="auto"/>
          <w:kern w:val="0"/>
          <w:sz w:val="22"/>
          <w:szCs w:val="22"/>
          <w:lang w:eastAsia="en-US"/>
        </w:rPr>
        <w:t xml:space="preserve">): il RPCT accerta che il soggetto interno del CND che segnala illeciti (non rimanendo anonimo) non subisca ingiuste ripercussioni o misure discriminatorie, dirette o indirette, aventi effetti sulla partecipazione al Consiglio ovvero sulle </w:t>
      </w:r>
      <w:r w:rsidRPr="00A10D09">
        <w:rPr>
          <w:rFonts w:asciiTheme="minorHAnsi" w:eastAsiaTheme="minorHAnsi" w:hAnsiTheme="minorHAnsi" w:cstheme="minorHAnsi"/>
          <w:bCs/>
          <w:color w:val="auto"/>
          <w:kern w:val="0"/>
          <w:sz w:val="22"/>
          <w:szCs w:val="22"/>
          <w:lang w:eastAsia="en-US"/>
        </w:rPr>
        <w:lastRenderedPageBreak/>
        <w:t>condizioni di lavoro, per motivi collegati alla denuncia. Il componente/dipendente che ritiene di aver subito una discriminazione, per il fatto di aver effettuato una segnalazione di illecito, deve dare notizia circostanziata dell'avvenuta discriminazione al RPCT.</w:t>
      </w:r>
    </w:p>
    <w:p w14:paraId="0D32A05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Il CND si riserva di predisporre un'apposita procedura per la presentazione delle segnalazioni di cui al presente paragrafo, a mezzo di opportune iniziative e accorgimenti tecnici, affinché siano assicurati la tutela all'anonimato e il divieto di discriminazione nei confronti del </w:t>
      </w:r>
      <w:r w:rsidRPr="00A10D09">
        <w:rPr>
          <w:rFonts w:asciiTheme="minorHAnsi" w:eastAsiaTheme="minorHAnsi" w:hAnsiTheme="minorHAnsi" w:cstheme="minorHAnsi"/>
          <w:bCs/>
          <w:i/>
          <w:color w:val="auto"/>
          <w:kern w:val="0"/>
          <w:sz w:val="22"/>
          <w:szCs w:val="22"/>
          <w:lang w:eastAsia="en-US"/>
        </w:rPr>
        <w:t>whistleblower</w:t>
      </w:r>
      <w:r w:rsidRPr="00A10D09">
        <w:rPr>
          <w:rFonts w:asciiTheme="minorHAnsi" w:eastAsiaTheme="minorHAnsi" w:hAnsiTheme="minorHAnsi" w:cstheme="minorHAnsi"/>
          <w:bCs/>
          <w:color w:val="auto"/>
          <w:kern w:val="0"/>
          <w:sz w:val="22"/>
          <w:szCs w:val="22"/>
          <w:lang w:eastAsia="en-US"/>
        </w:rPr>
        <w:t>.</w:t>
      </w:r>
    </w:p>
    <w:p w14:paraId="6A3D2A4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sopra è previsto dall’art. 54 bis D.Lgs. 165/2001 e in attuazione dello stesso. Per ulteriori informazioni si rinvia alla delibera ANAC n. 6/2015.</w:t>
      </w:r>
    </w:p>
    <w:p w14:paraId="478CB4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C03B43D" w14:textId="5B6F3949" w:rsidR="000847E5" w:rsidRPr="00A10D09" w:rsidRDefault="006A7294"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bookmarkStart w:id="13" w:name="_Hlk65517666"/>
      <w:r w:rsidRPr="00A10D09">
        <w:rPr>
          <w:rFonts w:asciiTheme="minorHAnsi" w:eastAsiaTheme="minorHAnsi" w:hAnsiTheme="minorHAnsi" w:cstheme="minorHAnsi"/>
          <w:b/>
          <w:color w:val="auto"/>
          <w:kern w:val="0"/>
          <w:sz w:val="22"/>
          <w:szCs w:val="22"/>
          <w:lang w:eastAsia="en-US"/>
        </w:rPr>
        <w:t>4.</w:t>
      </w:r>
      <w:r w:rsidR="00166B53">
        <w:rPr>
          <w:rFonts w:asciiTheme="minorHAnsi" w:eastAsiaTheme="minorHAnsi" w:hAnsiTheme="minorHAnsi" w:cstheme="minorHAnsi"/>
          <w:b/>
          <w:color w:val="auto"/>
          <w:kern w:val="0"/>
          <w:sz w:val="22"/>
          <w:szCs w:val="22"/>
          <w:lang w:eastAsia="en-US"/>
        </w:rPr>
        <w:t>3</w:t>
      </w:r>
      <w:r w:rsidR="000847E5" w:rsidRPr="00A10D09">
        <w:rPr>
          <w:rFonts w:asciiTheme="minorHAnsi" w:eastAsiaTheme="minorHAnsi" w:hAnsiTheme="minorHAnsi" w:cstheme="minorHAnsi"/>
          <w:b/>
          <w:color w:val="auto"/>
          <w:kern w:val="0"/>
          <w:sz w:val="22"/>
          <w:szCs w:val="22"/>
          <w:lang w:eastAsia="en-US"/>
        </w:rPr>
        <w:t xml:space="preserve"> Misure di formazione - La formazione in materia di etica, integrità ed altre tematiche inerenti al rischio corruttivo</w:t>
      </w:r>
      <w:bookmarkEnd w:id="13"/>
    </w:p>
    <w:p w14:paraId="3526713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del CND pianifica lo svolgimento di percorsi formativi in materia di prevenzione della corruzione per i componenti/dipendenti impiegati nelle aree di attività con processi mappati come “a rischio” (è la c.d. formazione specifica), mentre tutti i componenti/dipendenti saranno, comunque, coinvolti in percorsi formativi in materia di etica e di legalità, con particolare riguardo alle regole scritte nel Codice di comportamento approvato dal CND (è la c.d. formazione generica).</w:t>
      </w:r>
    </w:p>
    <w:p w14:paraId="1ED1F19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Un ciclo di formazione volto a favorire comportamenti ispirati ai principi etici, della legalità, della lealtà e della correttezza, e che contribuisca efficacemente a fare crescere la cultura della legalità, non potrà prescindere dalla piena conoscenza da parte dei componenti/dipendenti del CND delle disposizioni previste nel Codice di comportamento nonché nel presente PTPCT e dei documenti (regolamenti, procedure, protocolli, ecc.) approvati e in vigore. In quest'ottica il CND assicurerà la massima divulgazione dei predetti documenti al componenti/dipendenti, prevedendo, per quanto riguarda la presa d’atto del PTPCT e del Codice di comportamento, le seguenti forme:</w:t>
      </w:r>
    </w:p>
    <w:p w14:paraId="772D366B" w14:textId="77777777" w:rsidR="000847E5" w:rsidRPr="00A10D09" w:rsidRDefault="000847E5" w:rsidP="00086533">
      <w:pPr>
        <w:numPr>
          <w:ilvl w:val="0"/>
          <w:numId w:val="10"/>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per il personale dipendente neoassunto si provvederà a far sottoscrivere una dichiarazione di presa d'atto della consegna del Codice di comportamento e della disponibilità on-line del PTPCT;</w:t>
      </w:r>
    </w:p>
    <w:p w14:paraId="1C8D928C" w14:textId="77777777" w:rsidR="000847E5" w:rsidRPr="00A10D09" w:rsidRDefault="000847E5" w:rsidP="00086533">
      <w:pPr>
        <w:numPr>
          <w:ilvl w:val="0"/>
          <w:numId w:val="10"/>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i componenti/dipendenti già in servizio, il PTPCT verrà loro notificato tramite posta elettronica dopo ogni aggiornamento;</w:t>
      </w:r>
    </w:p>
    <w:p w14:paraId="7E3BB915" w14:textId="7CB6A5CF" w:rsidR="000847E5" w:rsidRPr="00A10D09" w:rsidRDefault="000847E5" w:rsidP="00086533">
      <w:pPr>
        <w:numPr>
          <w:ilvl w:val="0"/>
          <w:numId w:val="10"/>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i componenti/dipendenti destinati ad operare o operanti nei processi particolarmente esposti al rischio corruzione saranno previsti corsi di formazione specifici e differenziati, </w:t>
      </w:r>
      <w:r w:rsidR="00D2729C" w:rsidRPr="00A10D09">
        <w:rPr>
          <w:rFonts w:asciiTheme="minorHAnsi" w:eastAsiaTheme="minorHAnsi" w:hAnsiTheme="minorHAnsi" w:cstheme="minorHAnsi"/>
          <w:bCs/>
          <w:color w:val="auto"/>
          <w:kern w:val="0"/>
          <w:sz w:val="22"/>
          <w:szCs w:val="22"/>
          <w:lang w:eastAsia="en-US"/>
        </w:rPr>
        <w:t xml:space="preserve">eventualmente </w:t>
      </w:r>
      <w:r w:rsidRPr="00A10D09">
        <w:rPr>
          <w:rFonts w:asciiTheme="minorHAnsi" w:eastAsiaTheme="minorHAnsi" w:hAnsiTheme="minorHAnsi" w:cstheme="minorHAnsi"/>
          <w:bCs/>
          <w:color w:val="auto"/>
          <w:kern w:val="0"/>
          <w:sz w:val="22"/>
          <w:szCs w:val="22"/>
          <w:lang w:eastAsia="en-US"/>
        </w:rPr>
        <w:t>da svolgersi in collaborazione con altri CND.</w:t>
      </w:r>
    </w:p>
    <w:p w14:paraId="54384B9F" w14:textId="7D5A3D51" w:rsidR="000847E5" w:rsidRPr="00A10D09" w:rsidRDefault="005111E7"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 xml:space="preserve">Una volta nel triennio si prevede l'organizzazione di un evento formativo con un relatore esterno. </w:t>
      </w:r>
      <w:r w:rsidR="003D6819">
        <w:rPr>
          <w:rFonts w:asciiTheme="minorHAnsi" w:eastAsiaTheme="minorHAnsi" w:hAnsiTheme="minorHAnsi" w:cstheme="minorHAnsi"/>
          <w:bCs/>
          <w:color w:val="auto"/>
          <w:kern w:val="0"/>
          <w:sz w:val="22"/>
          <w:szCs w:val="22"/>
          <w:lang w:eastAsia="en-US"/>
        </w:rPr>
        <w:t>Così, i</w:t>
      </w:r>
      <w:r w:rsidR="000847E5" w:rsidRPr="00A10D09">
        <w:rPr>
          <w:rFonts w:asciiTheme="minorHAnsi" w:eastAsiaTheme="minorHAnsi" w:hAnsiTheme="minorHAnsi" w:cstheme="minorHAnsi"/>
          <w:bCs/>
          <w:color w:val="auto"/>
          <w:kern w:val="0"/>
          <w:sz w:val="22"/>
          <w:szCs w:val="22"/>
          <w:lang w:eastAsia="en-US"/>
        </w:rPr>
        <w:t>n data 17</w:t>
      </w:r>
      <w:r w:rsidR="00D2729C" w:rsidRPr="00A10D09">
        <w:rPr>
          <w:rFonts w:asciiTheme="minorHAnsi" w:eastAsiaTheme="minorHAnsi" w:hAnsiTheme="minorHAnsi" w:cstheme="minorHAnsi"/>
          <w:bCs/>
          <w:color w:val="auto"/>
          <w:kern w:val="0"/>
          <w:sz w:val="22"/>
          <w:szCs w:val="22"/>
          <w:lang w:eastAsia="en-US"/>
        </w:rPr>
        <w:t xml:space="preserve"> maggio </w:t>
      </w:r>
      <w:r w:rsidR="000847E5" w:rsidRPr="00A10D09">
        <w:rPr>
          <w:rFonts w:asciiTheme="minorHAnsi" w:eastAsiaTheme="minorHAnsi" w:hAnsiTheme="minorHAnsi" w:cstheme="minorHAnsi"/>
          <w:bCs/>
          <w:color w:val="auto"/>
          <w:kern w:val="0"/>
          <w:sz w:val="22"/>
          <w:szCs w:val="22"/>
          <w:lang w:eastAsia="en-US"/>
        </w:rPr>
        <w:t xml:space="preserve">2018 si è svolto un momento formativo con </w:t>
      </w:r>
      <w:r w:rsidR="003D6819">
        <w:rPr>
          <w:rFonts w:asciiTheme="minorHAnsi" w:eastAsiaTheme="minorHAnsi" w:hAnsiTheme="minorHAnsi" w:cstheme="minorHAnsi"/>
          <w:bCs/>
          <w:color w:val="auto"/>
          <w:kern w:val="0"/>
          <w:sz w:val="22"/>
          <w:szCs w:val="22"/>
          <w:lang w:eastAsia="en-US"/>
        </w:rPr>
        <w:t>l'A</w:t>
      </w:r>
      <w:r w:rsidR="000847E5" w:rsidRPr="00A10D09">
        <w:rPr>
          <w:rFonts w:asciiTheme="minorHAnsi" w:eastAsiaTheme="minorHAnsi" w:hAnsiTheme="minorHAnsi" w:cstheme="minorHAnsi"/>
          <w:bCs/>
          <w:color w:val="auto"/>
          <w:kern w:val="0"/>
          <w:sz w:val="22"/>
          <w:szCs w:val="22"/>
          <w:lang w:eastAsia="en-US"/>
        </w:rPr>
        <w:t>vv. Angelita Caruocciolo, rivolto a tutti i notai del Distretto, in tema di normativa per la prevenzione della corruzione.</w:t>
      </w:r>
      <w:r>
        <w:rPr>
          <w:rFonts w:asciiTheme="minorHAnsi" w:eastAsiaTheme="minorHAnsi" w:hAnsiTheme="minorHAnsi" w:cstheme="minorHAnsi"/>
          <w:bCs/>
          <w:color w:val="auto"/>
          <w:kern w:val="0"/>
          <w:sz w:val="22"/>
          <w:szCs w:val="22"/>
          <w:lang w:eastAsia="en-US"/>
        </w:rPr>
        <w:t xml:space="preserve"> </w:t>
      </w:r>
    </w:p>
    <w:p w14:paraId="381AEC85" w14:textId="30094FB5" w:rsidR="005111E7"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Inoltre, si prevede di organizzare, almeno una volta </w:t>
      </w:r>
      <w:r w:rsidR="005111E7">
        <w:rPr>
          <w:rFonts w:asciiTheme="minorHAnsi" w:eastAsiaTheme="minorHAnsi" w:hAnsiTheme="minorHAnsi" w:cstheme="minorHAnsi"/>
          <w:bCs/>
          <w:color w:val="auto"/>
          <w:kern w:val="0"/>
          <w:sz w:val="22"/>
          <w:szCs w:val="22"/>
          <w:lang w:eastAsia="en-US"/>
        </w:rPr>
        <w:t xml:space="preserve">all'anno </w:t>
      </w:r>
      <w:r w:rsidRPr="00A10D09">
        <w:rPr>
          <w:rFonts w:asciiTheme="minorHAnsi" w:eastAsiaTheme="minorHAnsi" w:hAnsiTheme="minorHAnsi" w:cstheme="minorHAnsi"/>
          <w:bCs/>
          <w:color w:val="auto"/>
          <w:kern w:val="0"/>
          <w:sz w:val="22"/>
          <w:szCs w:val="22"/>
          <w:lang w:eastAsia="en-US"/>
        </w:rPr>
        <w:t>(come è stato fatto negli anni scorsi), un momento formativo, rivolto a tutti i notai del Distretto, in tema di giurisprudenza della Co.</w:t>
      </w:r>
      <w:proofErr w:type="gramStart"/>
      <w:r w:rsidRPr="00A10D09">
        <w:rPr>
          <w:rFonts w:asciiTheme="minorHAnsi" w:eastAsiaTheme="minorHAnsi" w:hAnsiTheme="minorHAnsi" w:cstheme="minorHAnsi"/>
          <w:bCs/>
          <w:color w:val="auto"/>
          <w:kern w:val="0"/>
          <w:sz w:val="22"/>
          <w:szCs w:val="22"/>
          <w:lang w:eastAsia="en-US"/>
        </w:rPr>
        <w:t>Re.Di</w:t>
      </w:r>
      <w:r w:rsidR="00D2729C" w:rsidRPr="00A10D09">
        <w:rPr>
          <w:rFonts w:asciiTheme="minorHAnsi" w:eastAsiaTheme="minorHAnsi" w:hAnsiTheme="minorHAnsi" w:cstheme="minorHAnsi"/>
          <w:bCs/>
          <w:color w:val="auto"/>
          <w:kern w:val="0"/>
          <w:sz w:val="22"/>
          <w:szCs w:val="22"/>
          <w:lang w:eastAsia="en-US"/>
        </w:rPr>
        <w:t>.</w:t>
      </w:r>
      <w:proofErr w:type="gramEnd"/>
      <w:r w:rsidR="005111E7">
        <w:rPr>
          <w:rFonts w:asciiTheme="minorHAnsi" w:eastAsiaTheme="minorHAnsi" w:hAnsiTheme="minorHAnsi" w:cstheme="minorHAnsi"/>
          <w:bCs/>
          <w:color w:val="auto"/>
          <w:kern w:val="0"/>
          <w:sz w:val="22"/>
          <w:szCs w:val="22"/>
          <w:lang w:eastAsia="en-US"/>
        </w:rPr>
        <w:t xml:space="preserve"> nonché, almeno una volta all'anno, un momento formativo, rivolto a tutti i notai del Distretto, in tema di </w:t>
      </w:r>
      <w:r w:rsidR="005111E7" w:rsidRPr="005111E7">
        <w:rPr>
          <w:rFonts w:asciiTheme="minorHAnsi" w:eastAsiaTheme="minorHAnsi" w:hAnsiTheme="minorHAnsi" w:cstheme="minorHAnsi"/>
          <w:bCs/>
          <w:color w:val="auto"/>
          <w:kern w:val="0"/>
          <w:sz w:val="22"/>
          <w:szCs w:val="22"/>
          <w:lang w:eastAsia="en-US"/>
        </w:rPr>
        <w:t>prevenzione del riciclaggio, del finanziamento del terrorismo e della criminalità organizzata</w:t>
      </w:r>
      <w:r w:rsidR="005111E7">
        <w:rPr>
          <w:rFonts w:asciiTheme="minorHAnsi" w:eastAsiaTheme="minorHAnsi" w:hAnsiTheme="minorHAnsi" w:cstheme="minorHAnsi"/>
          <w:bCs/>
          <w:color w:val="auto"/>
          <w:kern w:val="0"/>
          <w:sz w:val="22"/>
          <w:szCs w:val="22"/>
          <w:lang w:eastAsia="en-US"/>
        </w:rPr>
        <w:t xml:space="preserve">. In occasione di tali eventi formativi, saranno illustrati anche le principali disposizioni e i principali obblighi in materia di </w:t>
      </w:r>
      <w:r w:rsidR="00E402FC">
        <w:rPr>
          <w:rFonts w:asciiTheme="minorHAnsi" w:eastAsiaTheme="minorHAnsi" w:hAnsiTheme="minorHAnsi" w:cstheme="minorHAnsi"/>
          <w:bCs/>
          <w:color w:val="auto"/>
          <w:kern w:val="0"/>
          <w:sz w:val="22"/>
          <w:szCs w:val="22"/>
          <w:lang w:eastAsia="en-US"/>
        </w:rPr>
        <w:t xml:space="preserve">prevenzione </w:t>
      </w:r>
      <w:r w:rsidR="00E402FC">
        <w:rPr>
          <w:rFonts w:asciiTheme="minorHAnsi" w:eastAsiaTheme="minorHAnsi" w:hAnsiTheme="minorHAnsi" w:cstheme="minorHAnsi"/>
          <w:bCs/>
          <w:color w:val="auto"/>
          <w:kern w:val="0"/>
          <w:sz w:val="22"/>
          <w:szCs w:val="22"/>
          <w:lang w:eastAsia="en-US"/>
        </w:rPr>
        <w:lastRenderedPageBreak/>
        <w:t xml:space="preserve">della corruzione </w:t>
      </w:r>
      <w:r w:rsidR="005111E7">
        <w:rPr>
          <w:rFonts w:asciiTheme="minorHAnsi" w:eastAsiaTheme="minorHAnsi" w:hAnsiTheme="minorHAnsi" w:cstheme="minorHAnsi"/>
          <w:bCs/>
          <w:color w:val="auto"/>
          <w:kern w:val="0"/>
          <w:sz w:val="22"/>
          <w:szCs w:val="22"/>
          <w:lang w:eastAsia="en-US"/>
        </w:rPr>
        <w:t xml:space="preserve">(come previsti dalle norme di legge, dal </w:t>
      </w:r>
      <w:r w:rsidR="005111E7" w:rsidRPr="00A10D09">
        <w:rPr>
          <w:rFonts w:asciiTheme="minorHAnsi" w:eastAsiaTheme="minorHAnsi" w:hAnsiTheme="minorHAnsi" w:cstheme="minorHAnsi"/>
          <w:bCs/>
          <w:color w:val="auto"/>
          <w:kern w:val="0"/>
          <w:sz w:val="22"/>
          <w:szCs w:val="22"/>
          <w:lang w:eastAsia="en-US"/>
        </w:rPr>
        <w:t>Codice di comportamento</w:t>
      </w:r>
      <w:r w:rsidR="005111E7">
        <w:rPr>
          <w:rFonts w:asciiTheme="minorHAnsi" w:eastAsiaTheme="minorHAnsi" w:hAnsiTheme="minorHAnsi" w:cstheme="minorHAnsi"/>
          <w:bCs/>
          <w:color w:val="auto"/>
          <w:kern w:val="0"/>
          <w:sz w:val="22"/>
          <w:szCs w:val="22"/>
          <w:lang w:eastAsia="en-US"/>
        </w:rPr>
        <w:t xml:space="preserve">, dal </w:t>
      </w:r>
      <w:r w:rsidR="005111E7" w:rsidRPr="00A10D09">
        <w:rPr>
          <w:rFonts w:asciiTheme="minorHAnsi" w:eastAsiaTheme="minorHAnsi" w:hAnsiTheme="minorHAnsi" w:cstheme="minorHAnsi"/>
          <w:bCs/>
          <w:color w:val="auto"/>
          <w:kern w:val="0"/>
          <w:sz w:val="22"/>
          <w:szCs w:val="22"/>
          <w:lang w:eastAsia="en-US"/>
        </w:rPr>
        <w:t>PTPCT</w:t>
      </w:r>
      <w:r w:rsidR="005111E7">
        <w:rPr>
          <w:rFonts w:asciiTheme="minorHAnsi" w:eastAsiaTheme="minorHAnsi" w:hAnsiTheme="minorHAnsi" w:cstheme="minorHAnsi"/>
          <w:bCs/>
          <w:color w:val="auto"/>
          <w:kern w:val="0"/>
          <w:sz w:val="22"/>
          <w:szCs w:val="22"/>
          <w:lang w:eastAsia="en-US"/>
        </w:rPr>
        <w:t xml:space="preserve">, dai vigenti </w:t>
      </w:r>
      <w:r w:rsidR="005111E7" w:rsidRPr="00A10D09">
        <w:rPr>
          <w:rFonts w:asciiTheme="minorHAnsi" w:eastAsiaTheme="minorHAnsi" w:hAnsiTheme="minorHAnsi" w:cstheme="minorHAnsi"/>
          <w:bCs/>
          <w:color w:val="auto"/>
          <w:kern w:val="0"/>
          <w:sz w:val="22"/>
          <w:szCs w:val="22"/>
          <w:lang w:eastAsia="en-US"/>
        </w:rPr>
        <w:t>regolamenti, procedure, protocolli ecc.)</w:t>
      </w:r>
      <w:r w:rsidR="005111E7">
        <w:rPr>
          <w:rFonts w:asciiTheme="minorHAnsi" w:eastAsiaTheme="minorHAnsi" w:hAnsiTheme="minorHAnsi" w:cstheme="minorHAnsi"/>
          <w:bCs/>
          <w:color w:val="auto"/>
          <w:kern w:val="0"/>
          <w:sz w:val="22"/>
          <w:szCs w:val="22"/>
          <w:lang w:eastAsia="en-US"/>
        </w:rPr>
        <w:t>.</w:t>
      </w:r>
    </w:p>
    <w:p w14:paraId="6253B037" w14:textId="4F56781F" w:rsidR="005111E7" w:rsidRPr="00A10D09" w:rsidRDefault="00A2622B"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Almeno semestralmente, il RPCT e il RP espongono alle dipendenti/segretarie le principali disposizioni e i principali obblighi e documenti in materia che riguardano le loro competenze.</w:t>
      </w:r>
    </w:p>
    <w:p w14:paraId="0D38275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3E48D099" w14:textId="6840BF50" w:rsidR="000847E5" w:rsidRPr="00A10D09" w:rsidRDefault="006A7294"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bookmarkStart w:id="14" w:name="_Hlk65517688"/>
      <w:r w:rsidRPr="00A10D09">
        <w:rPr>
          <w:rFonts w:asciiTheme="minorHAnsi" w:eastAsiaTheme="minorHAnsi" w:hAnsiTheme="minorHAnsi" w:cstheme="minorHAnsi"/>
          <w:b/>
          <w:color w:val="auto"/>
          <w:kern w:val="0"/>
          <w:sz w:val="22"/>
          <w:szCs w:val="22"/>
          <w:lang w:eastAsia="en-US"/>
        </w:rPr>
        <w:t>4.</w:t>
      </w:r>
      <w:r w:rsidR="00166B53">
        <w:rPr>
          <w:rFonts w:asciiTheme="minorHAnsi" w:eastAsiaTheme="minorHAnsi" w:hAnsiTheme="minorHAnsi" w:cstheme="minorHAnsi"/>
          <w:b/>
          <w:color w:val="auto"/>
          <w:kern w:val="0"/>
          <w:sz w:val="22"/>
          <w:szCs w:val="22"/>
          <w:lang w:eastAsia="en-US"/>
        </w:rPr>
        <w:t>4</w:t>
      </w:r>
      <w:r w:rsidR="000847E5" w:rsidRPr="00A10D09">
        <w:rPr>
          <w:rFonts w:asciiTheme="minorHAnsi" w:eastAsiaTheme="minorHAnsi" w:hAnsiTheme="minorHAnsi" w:cstheme="minorHAnsi"/>
          <w:b/>
          <w:color w:val="auto"/>
          <w:kern w:val="0"/>
          <w:sz w:val="22"/>
          <w:szCs w:val="22"/>
          <w:lang w:eastAsia="en-US"/>
        </w:rPr>
        <w:t xml:space="preserve"> Misure di rotazione ordinaria - La rotazione del personale, ove esistente, nelle aree a rischio corruzione, se materialmente possibile</w:t>
      </w:r>
      <w:bookmarkEnd w:id="14"/>
    </w:p>
    <w:p w14:paraId="0A7761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riferimento al personale, allo stato attuale non è realizzabile la rotazione per il fatto che ci sono solamente due dipendenti.</w:t>
      </w:r>
    </w:p>
    <w:p w14:paraId="20EB6A3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componenti del Consiglio, la rotazione viene attuata ai sensi dell'art. 88 della Legge Notarile, secondo il quale “i membri del Consiglio restano in ufficio tre anni e possono esser rieletti” e “sono rinnovati per un terzo in ciascun anno, giusta l'ordine di anzianità di nomina”.</w:t>
      </w:r>
    </w:p>
    <w:p w14:paraId="025597B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Anche in considerazione del fatto che la rieleggibilità di cui sopra è senza limite di mandati, nel processo di gestione del rischio è stato adottato – quale misura alternativa alla rotazione laddove la Legge Notarile attribuisce il potere decisionale (discrezionale o vincolato) a un organo monocratico (presidente o tesoriere) – il controllo successivo da parte dell’organo collegiale (Consiglio).</w:t>
      </w:r>
    </w:p>
    <w:p w14:paraId="28A93C7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F82636C" w14:textId="4D30D4D0" w:rsidR="000847E5" w:rsidRPr="00A10D09" w:rsidRDefault="006A7294"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bookmarkStart w:id="15" w:name="_Hlk65517707"/>
      <w:r w:rsidRPr="00A10D09">
        <w:rPr>
          <w:rFonts w:asciiTheme="minorHAnsi" w:eastAsiaTheme="minorHAnsi" w:hAnsiTheme="minorHAnsi" w:cstheme="minorHAnsi"/>
          <w:b/>
          <w:color w:val="auto"/>
          <w:kern w:val="0"/>
          <w:sz w:val="22"/>
          <w:szCs w:val="22"/>
          <w:lang w:eastAsia="en-US"/>
        </w:rPr>
        <w:t>4.</w:t>
      </w:r>
      <w:r w:rsidR="00166B53">
        <w:rPr>
          <w:rFonts w:asciiTheme="minorHAnsi" w:eastAsiaTheme="minorHAnsi" w:hAnsiTheme="minorHAnsi" w:cstheme="minorHAnsi"/>
          <w:b/>
          <w:color w:val="auto"/>
          <w:kern w:val="0"/>
          <w:sz w:val="22"/>
          <w:szCs w:val="22"/>
          <w:lang w:eastAsia="en-US"/>
        </w:rPr>
        <w:t>5</w:t>
      </w:r>
      <w:r w:rsidR="000847E5" w:rsidRPr="00A10D09">
        <w:rPr>
          <w:rFonts w:asciiTheme="minorHAnsi" w:eastAsiaTheme="minorHAnsi" w:hAnsiTheme="minorHAnsi" w:cstheme="minorHAnsi"/>
          <w:b/>
          <w:color w:val="auto"/>
          <w:kern w:val="0"/>
          <w:sz w:val="22"/>
          <w:szCs w:val="22"/>
          <w:lang w:eastAsia="en-US"/>
        </w:rPr>
        <w:t xml:space="preserve"> Misure di trasparenza - L’adozione di adeguate misure di trasparenza (disciplinate dal D.Lgs. 33/2013, come modificato dal D.Lgs. 97/2016)</w:t>
      </w:r>
    </w:p>
    <w:bookmarkEnd w:id="15"/>
    <w:p w14:paraId="482D192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Come anticipato, con il d.lgs. 97/2016 il Programma triennale per la trasparenza e l'integrità (PTTI) è stato integrato nel PTPCT e ne costituisce, pertanto, una apposita sezione. Tale sezione è trattata dettagliatamente al punto 7 del presente PTPCT, al quale, pertanto, si rinvia.</w:t>
      </w:r>
    </w:p>
    <w:p w14:paraId="052B9F6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58EF3E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F0B784E"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5. MONITORAGGIO E RIESAME</w:t>
      </w:r>
    </w:p>
    <w:p w14:paraId="0560DD8D"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16" w:name="_Hlk65517747"/>
      <w:r w:rsidRPr="00A10D09">
        <w:rPr>
          <w:rFonts w:asciiTheme="minorHAnsi" w:eastAsiaTheme="minorHAnsi" w:hAnsiTheme="minorHAnsi" w:cstheme="minorHAnsi"/>
          <w:b/>
          <w:bCs/>
          <w:color w:val="auto"/>
          <w:kern w:val="0"/>
          <w:sz w:val="22"/>
          <w:szCs w:val="22"/>
          <w:lang w:eastAsia="en-US"/>
        </w:rPr>
        <w:t>5.1. Monitoraggio sull'attuazione e sull'idoneità delle misure - Riesame periodico della funzionalità complessiva del sistema - Aggiornamento del PTPCT</w:t>
      </w:r>
      <w:bookmarkEnd w:id="16"/>
    </w:p>
    <w:p w14:paraId="702025B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Essendo il PTPCT un documento programmatico, il costante monitoraggio e controllo sia della corretta attuazione delle misure previste sia dell'idoneità delle misure è fondamentale. Sono responsabili del monitoraggio sia il RPCT che gli ulteriori componenti del Consiglio. </w:t>
      </w:r>
    </w:p>
    <w:p w14:paraId="1C53BFD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Considerate le dimensioni e attività ridotte del Consiglio, è soggetto a monitoraggio tendenzialmente ogni processo mappato. </w:t>
      </w:r>
    </w:p>
    <w:p w14:paraId="53F447CB" w14:textId="4821AF7F"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 particolare, quasi la totalità dei processi relativi ai Provvedimenti ampliativi della sfera giuridica dei destinatari privi di effetto economico diretto ed immediato per il destinatario, ai Provvedimenti ampliativi della sfera giuridica dei destinatari con effetto economico diretto ed immediato per il destinatario, ai Contratti Pubblici (ex affidamento di lavori, servizi e forniture), all'Acquisizione e gestione del personale (ex acquisizione e alla progressione del personale), alla Gestione delle entrate, delle spese e del patrimonio, ai </w:t>
      </w:r>
      <w:r w:rsidRPr="00A10D09">
        <w:rPr>
          <w:rFonts w:asciiTheme="minorHAnsi" w:eastAsiaTheme="minorHAnsi" w:hAnsiTheme="minorHAnsi" w:cstheme="minorHAnsi"/>
          <w:bCs/>
          <w:color w:val="auto"/>
          <w:kern w:val="0"/>
          <w:sz w:val="22"/>
          <w:szCs w:val="22"/>
          <w:lang w:eastAsia="en-US"/>
        </w:rPr>
        <w:lastRenderedPageBreak/>
        <w:t>Controlli, verifiche, ispezioni e sanzioni, agli Incarichi e nomine, agli Affari legali e contenzioso, alla Formazione professionale continua nonché al Rilascio di pareri di congruità e altri pareri richiedono una delibera da parte del Consiglio notarile oppure una decisione da parte del Presidente del Consiglio notarile ovvero del Tesoriere o Segretario, da comunicare al prossimo Consiglio notarile; pertanto, essendo il RPCT membro del consiglio notarile, il monitoraggio è effettuato in occasione delle riunioni del Consiglio notarile</w:t>
      </w:r>
      <w:r w:rsidR="005A4954">
        <w:rPr>
          <w:rFonts w:asciiTheme="minorHAnsi" w:eastAsiaTheme="minorHAnsi" w:hAnsiTheme="minorHAnsi" w:cstheme="minorHAnsi"/>
          <w:bCs/>
          <w:color w:val="auto"/>
          <w:kern w:val="0"/>
          <w:sz w:val="22"/>
          <w:szCs w:val="22"/>
          <w:lang w:eastAsia="en-US"/>
        </w:rPr>
        <w:t xml:space="preserve"> (di regola mensilmente)</w:t>
      </w:r>
      <w:r w:rsidRPr="00A10D09">
        <w:rPr>
          <w:rFonts w:asciiTheme="minorHAnsi" w:eastAsiaTheme="minorHAnsi" w:hAnsiTheme="minorHAnsi" w:cstheme="minorHAnsi"/>
          <w:bCs/>
          <w:color w:val="auto"/>
          <w:kern w:val="0"/>
          <w:sz w:val="22"/>
          <w:szCs w:val="22"/>
          <w:lang w:eastAsia="en-US"/>
        </w:rPr>
        <w:t>, mediante verifica della regolarità delle singole delibere e della documentazione e delle informazioni che ne costituiscono la base, nonché verifica della correttezza dei verbali e dell'attuazione delle delibere precedenti.</w:t>
      </w:r>
    </w:p>
    <w:p w14:paraId="5D730DA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Le attività esecutive da parte delle dipendenti della Segreteria (come il monitoraggio della fase di esecuzione dei contratti con fornitori ecc., la gestione dei beni mobili del consiglio, la tenuta delle scritture contabili, la gestione del registro delle nomine degli amministratori di sostegno) sono monitorate in sede degli incontri mensili in occasione delle riunioni del Consiglio mediante colloqui e richiesta di documenti e informazioni, ma anche mediante la verifica della documentazione contabile, la cui tenuta avviene sotto il controllo del Tesoriere e del Consiglio e in base alla quale il Tesoriere redige il bilancio annuale per l'approvazione da parte dell'assemblea collegiale. </w:t>
      </w:r>
    </w:p>
    <w:p w14:paraId="21E0013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rispetto degli obblighi di trasparenza, con conseguente pubblicazione dei dati richiesti nella sezione "Amministrazione trasparente" del sito internet del Consiglio notarile, avviene da parte del RPCT mediante verifica periodica (trimestrale) dell'effettiva pubblicazione.</w:t>
      </w:r>
    </w:p>
    <w:p w14:paraId="4163869F" w14:textId="25EB8B4B"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monitoraggio svolto permette di effettuare anche una valutazione circa l'idoneità delle misure previste. Premesso che durante l'anno 2020 il Consiglio ha svolto un'attività limitata a causa dell'emergenza sanitaria da Covid-19 e che per lo stesso motivo il monitoraggio è avvenuto a distanza con modalità elettroniche, i risultati emersi consentono di ritenere adeguate le misure finora attuate, per cui non sono stati effettuati riesami infra-annuali sostanziali e le misure pre-esistenti sono state oggetto di meri adeguamenti ove ritenuto opportuno, senza introdurre nuove procedure e controlli con il rischio di rendere l'attività del Consiglio più macchinosa.</w:t>
      </w:r>
    </w:p>
    <w:p w14:paraId="3570468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ogni caso, ai sensi dell'art. 1, comma 8, della Legge 190/2012, l'aggiornamento del PTPCT dovrà essere adottato entro il 31 gennaio di ciascun anno, secondo le modalità già sperimentate nella redazione del presente Piano come dei Piani precedenti, a partire dal primo PTPC 2016-2018.</w:t>
      </w:r>
    </w:p>
    <w:p w14:paraId="2F4E40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Entro il 15 dicembre di ogni anno, il RPCT pubblica nel sito internet del CND una relazione recante i risultati dell'attività di prevenzione, svolta sulla base di uno schema definito dall’ANAC e utilizzando l'apposito modulo generato sulla Piattaforma per l'acquisizione dei PTPCT. </w:t>
      </w:r>
    </w:p>
    <w:p w14:paraId="7B091AF1" w14:textId="3915394A" w:rsidR="00CF2755" w:rsidRPr="00A10D09" w:rsidRDefault="00CF275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 causa dell'emergenza sanitaria da Covid-19, il Consiglio dell'ANAC, con delibera del 2 dicembre 2020, ha deciso di differire al 31 marzo 2021 il termine ultimo per la predisposizione e pubblicazione sia dei PTPCT 2021-2023 sia delle relazioni annuali che i RPCT sono tenuti ad elaborare ai sensi dell'art. 1, comma 14, della legge 190/2012. Pertanto, la </w:t>
      </w:r>
      <w:r w:rsidR="000847E5" w:rsidRPr="00A10D09">
        <w:rPr>
          <w:rFonts w:asciiTheme="minorHAnsi" w:eastAsiaTheme="minorHAnsi" w:hAnsiTheme="minorHAnsi" w:cstheme="minorHAnsi"/>
          <w:bCs/>
          <w:color w:val="auto"/>
          <w:kern w:val="0"/>
          <w:sz w:val="22"/>
          <w:szCs w:val="22"/>
          <w:lang w:eastAsia="en-US"/>
        </w:rPr>
        <w:t>relazione sull’attività del 2020</w:t>
      </w:r>
      <w:r w:rsidRPr="00A10D09">
        <w:rPr>
          <w:rFonts w:asciiTheme="minorHAnsi" w:eastAsiaTheme="minorHAnsi" w:hAnsiTheme="minorHAnsi" w:cstheme="minorHAnsi"/>
          <w:bCs/>
          <w:color w:val="auto"/>
          <w:kern w:val="0"/>
          <w:sz w:val="22"/>
          <w:szCs w:val="22"/>
          <w:lang w:eastAsia="en-US"/>
        </w:rPr>
        <w:t xml:space="preserve"> e il presente PTPCT sono stati trasmessi al Consiglio in data </w:t>
      </w:r>
      <w:r w:rsidR="003D6819">
        <w:rPr>
          <w:rFonts w:asciiTheme="minorHAnsi" w:eastAsiaTheme="minorHAnsi" w:hAnsiTheme="minorHAnsi" w:cstheme="minorHAnsi"/>
          <w:bCs/>
          <w:color w:val="auto"/>
          <w:kern w:val="0"/>
          <w:sz w:val="22"/>
          <w:szCs w:val="22"/>
          <w:lang w:eastAsia="en-US"/>
        </w:rPr>
        <w:t xml:space="preserve">3 marzo 2021 </w:t>
      </w:r>
      <w:r w:rsidR="000847E5" w:rsidRPr="00A10D09">
        <w:rPr>
          <w:rFonts w:asciiTheme="minorHAnsi" w:eastAsiaTheme="minorHAnsi" w:hAnsiTheme="minorHAnsi" w:cstheme="minorHAnsi"/>
          <w:bCs/>
          <w:color w:val="auto"/>
          <w:kern w:val="0"/>
          <w:sz w:val="22"/>
          <w:szCs w:val="22"/>
          <w:lang w:eastAsia="en-US"/>
        </w:rPr>
        <w:t xml:space="preserve">e </w:t>
      </w:r>
      <w:r w:rsidRPr="00A10D09">
        <w:rPr>
          <w:rFonts w:asciiTheme="minorHAnsi" w:eastAsiaTheme="minorHAnsi" w:hAnsiTheme="minorHAnsi" w:cstheme="minorHAnsi"/>
          <w:bCs/>
          <w:color w:val="auto"/>
          <w:kern w:val="0"/>
          <w:sz w:val="22"/>
          <w:szCs w:val="22"/>
          <w:lang w:eastAsia="en-US"/>
        </w:rPr>
        <w:t xml:space="preserve">verranno </w:t>
      </w:r>
      <w:r w:rsidR="000847E5" w:rsidRPr="00A10D09">
        <w:rPr>
          <w:rFonts w:asciiTheme="minorHAnsi" w:eastAsiaTheme="minorHAnsi" w:hAnsiTheme="minorHAnsi" w:cstheme="minorHAnsi"/>
          <w:bCs/>
          <w:color w:val="auto"/>
          <w:kern w:val="0"/>
          <w:sz w:val="22"/>
          <w:szCs w:val="22"/>
          <w:lang w:eastAsia="en-US"/>
        </w:rPr>
        <w:t>pubblicat</w:t>
      </w:r>
      <w:r w:rsidRPr="00A10D09">
        <w:rPr>
          <w:rFonts w:asciiTheme="minorHAnsi" w:eastAsiaTheme="minorHAnsi" w:hAnsiTheme="minorHAnsi" w:cstheme="minorHAnsi"/>
          <w:bCs/>
          <w:color w:val="auto"/>
          <w:kern w:val="0"/>
          <w:sz w:val="22"/>
          <w:szCs w:val="22"/>
          <w:lang w:eastAsia="en-US"/>
        </w:rPr>
        <w:t xml:space="preserve">i </w:t>
      </w:r>
      <w:r w:rsidR="000847E5" w:rsidRPr="00A10D09">
        <w:rPr>
          <w:rFonts w:asciiTheme="minorHAnsi" w:eastAsiaTheme="minorHAnsi" w:hAnsiTheme="minorHAnsi" w:cstheme="minorHAnsi"/>
          <w:bCs/>
          <w:color w:val="auto"/>
          <w:kern w:val="0"/>
          <w:sz w:val="22"/>
          <w:szCs w:val="22"/>
          <w:lang w:eastAsia="en-US"/>
        </w:rPr>
        <w:t>entro il 31 marzo 2021</w:t>
      </w:r>
      <w:r w:rsidRPr="00A10D09">
        <w:rPr>
          <w:rFonts w:asciiTheme="minorHAnsi" w:eastAsiaTheme="minorHAnsi" w:hAnsiTheme="minorHAnsi" w:cstheme="minorHAnsi"/>
          <w:bCs/>
          <w:color w:val="auto"/>
          <w:kern w:val="0"/>
          <w:sz w:val="22"/>
          <w:szCs w:val="22"/>
          <w:lang w:eastAsia="en-US"/>
        </w:rPr>
        <w:t>.</w:t>
      </w:r>
    </w:p>
    <w:p w14:paraId="03D0EB2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00D8E32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FE7D7F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6. OBBLIGHI DI INFORMAZIONE - CONSULTAZIONE E COMUNICAZIONE</w:t>
      </w:r>
    </w:p>
    <w:p w14:paraId="10CFB1C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 Legge 190/2012, all'art. 1, comma 9, lettera c), impone al personale addetto alle attività a rischio corruzione uno specifico obbligo di informazione nei confronti del RPCT, chiamato a vigilare sul funzionamento e sull'osservanza del presente PTPCT.</w:t>
      </w:r>
    </w:p>
    <w:p w14:paraId="0AE4AC1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Poiché – come sopra segnalato – nel CND di Bolzano non vi sono né dirigenti né referenti (date le limitate dimensioni dello stesso), gli obblighi di informazione previsti dalla legge fanno capo a tutti i componenti del Consiglio e alle dipendenti del CND.</w:t>
      </w:r>
    </w:p>
    <w:p w14:paraId="01A9AA3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componenti/dipendenti del CND, quindi:</w:t>
      </w:r>
    </w:p>
    <w:p w14:paraId="64F30579" w14:textId="77777777" w:rsidR="000847E5" w:rsidRPr="00A10D09" w:rsidRDefault="000847E5" w:rsidP="00086533">
      <w:pPr>
        <w:numPr>
          <w:ilvl w:val="0"/>
          <w:numId w:val="3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concorrono alla definizione di misure idonee a prevenire e contrastare i fenomeni di corruzione e a controllarne il rispetto;</w:t>
      </w:r>
    </w:p>
    <w:p w14:paraId="5A25CD78" w14:textId="77777777" w:rsidR="000847E5" w:rsidRPr="00A10D09" w:rsidRDefault="000847E5" w:rsidP="00086533">
      <w:pPr>
        <w:numPr>
          <w:ilvl w:val="0"/>
          <w:numId w:val="3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forniscono le informazioni richieste dal RPCT e formulano specifiche proposte volte alla prevenzione del rischio di corruzione;</w:t>
      </w:r>
    </w:p>
    <w:p w14:paraId="77486A14" w14:textId="77777777" w:rsidR="000847E5" w:rsidRPr="00A10D09" w:rsidRDefault="000847E5" w:rsidP="00086533">
      <w:pPr>
        <w:numPr>
          <w:ilvl w:val="0"/>
          <w:numId w:val="3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provvedono al monitoraggio delle attività nell'ambito delle quali è più elevato il rischio di corruzione.</w:t>
      </w:r>
    </w:p>
    <w:p w14:paraId="301A7A4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mancata risposta alle richieste di contatto e di informativa del RPCT da parte dei soggetti obbligati, in base alle disposizioni del PTPCT e del Codice di comportamento, è suscettibile di essere sanzionata disciplinarmente.</w:t>
      </w:r>
    </w:p>
    <w:p w14:paraId="02D1B6C3" w14:textId="28A0F97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L'attività di consultazione e comunicazione interna, tra dipendenti, consiglieri e RPCT, è trasversale e continua, riguardando non soltanto la redazione del PTPCT e dei relativi allegati, ma l'intera attività svolta dal Consiglio. In particolare, in occasione delle riunioni mensili del Consiglio notarile, le dipendenti della Segreteria, i consiglieri e il RPCT si scambiano le informazioni circa l'attività svolta e il rispetto delle misure previste, consegnando l'eventuale documentazione al riguardo. Al di fuori delle riunioni del Consiglio, lo scambio di informazioni e documentazione ha luogo via e-mail.</w:t>
      </w:r>
    </w:p>
    <w:p w14:paraId="425CF67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coinvolgimento dei terzi/utenti avviene mediante la pubblicazione continua di azioni, informazioni e documenti del Consiglio sul proprio sito internet. Inoltre, la bozza del PTPCT con allegati viene pubblicata sul sito almeno 15 giorni prima della sua approvazione al fine di aprire una fase di consultazione "esterna", durante la quale la collettività ha la possibilità di chiedere informazioni e presentare osservazioni. Il presente PTPCT è stato pubblicato sul sito del CND in data …</w:t>
      </w:r>
    </w:p>
    <w:p w14:paraId="0367D96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20AED7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A025D7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7" w:name="__RefHeading___Toc3524_53921589633"/>
      <w:bookmarkEnd w:id="17"/>
      <w:r w:rsidRPr="00A10D09">
        <w:rPr>
          <w:rFonts w:asciiTheme="minorHAnsi" w:eastAsiaTheme="minorHAnsi" w:hAnsiTheme="minorHAnsi" w:cstheme="minorHAnsi"/>
          <w:b/>
          <w:bCs/>
          <w:color w:val="auto"/>
          <w:kern w:val="0"/>
          <w:sz w:val="22"/>
          <w:szCs w:val="22"/>
          <w:lang w:eastAsia="en-US"/>
        </w:rPr>
        <w:t>7. ATTUAZIONE DELLA TRASPARENZA</w:t>
      </w:r>
    </w:p>
    <w:p w14:paraId="37C8EA09" w14:textId="3E4AF3D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L'art. 1 del D.Lgs. 33/2013, come novellato dal D.Lgs. 97/2016, definisce, in via generale, la trasparenza “</w:t>
      </w:r>
      <w:r w:rsidRPr="00A10D09">
        <w:rPr>
          <w:rFonts w:asciiTheme="minorHAnsi" w:eastAsiaTheme="minorHAnsi" w:hAnsiTheme="minorHAnsi" w:cstheme="minorHAnsi"/>
          <w:bCs/>
          <w:i/>
          <w:color w:val="auto"/>
          <w:kern w:val="0"/>
          <w:sz w:val="22"/>
          <w:szCs w:val="22"/>
          <w:lang w:eastAsia="en-US"/>
        </w:rPr>
        <w:t>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i/>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Ancora, “</w:t>
      </w:r>
      <w:r w:rsidRPr="00A10D09">
        <w:rPr>
          <w:rFonts w:asciiTheme="minorHAnsi" w:eastAsiaTheme="minorHAnsi" w:hAnsiTheme="minorHAnsi" w:cstheme="minorHAnsi"/>
          <w:bCs/>
          <w:i/>
          <w:color w:val="auto"/>
          <w:kern w:val="0"/>
          <w:sz w:val="22"/>
          <w:szCs w:val="22"/>
          <w:lang w:eastAsia="en-US"/>
        </w:rPr>
        <w:t>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r w:rsidRPr="00A10D09">
        <w:rPr>
          <w:rFonts w:asciiTheme="minorHAnsi" w:eastAsiaTheme="minorHAnsi" w:hAnsiTheme="minorHAnsi" w:cstheme="minorHAnsi"/>
          <w:bCs/>
          <w:color w:val="auto"/>
          <w:kern w:val="0"/>
          <w:sz w:val="22"/>
          <w:szCs w:val="22"/>
          <w:lang w:eastAsia="en-US"/>
        </w:rPr>
        <w:t>”.</w:t>
      </w:r>
    </w:p>
    <w:p w14:paraId="31C7378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 xml:space="preserve">Attraverso l’attuazione della trasparenza, il CND di Bolzano intende promuovere una sempre maggiore consapevolezza del rispetto dei principi di buon andamento e imparzialità da parte degli operatori interni e consentire a tutti gli </w:t>
      </w:r>
      <w:r w:rsidRPr="00A10D09">
        <w:rPr>
          <w:rFonts w:asciiTheme="minorHAnsi" w:eastAsiaTheme="minorHAnsi" w:hAnsiTheme="minorHAnsi" w:cstheme="minorHAnsi"/>
          <w:bCs/>
          <w:i/>
          <w:color w:val="auto"/>
          <w:kern w:val="0"/>
          <w:sz w:val="22"/>
          <w:szCs w:val="22"/>
          <w:lang w:eastAsia="en-US"/>
        </w:rPr>
        <w:t>stakeholders</w:t>
      </w:r>
      <w:r w:rsidRPr="00A10D09">
        <w:rPr>
          <w:rFonts w:asciiTheme="minorHAnsi" w:eastAsiaTheme="minorHAnsi" w:hAnsiTheme="minorHAnsi" w:cstheme="minorHAnsi"/>
          <w:bCs/>
          <w:color w:val="auto"/>
          <w:kern w:val="0"/>
          <w:sz w:val="22"/>
          <w:szCs w:val="22"/>
          <w:lang w:eastAsia="en-US"/>
        </w:rPr>
        <w:t xml:space="preserve"> di verificare che i fini istituzionali dell'ente siano perseguiti nel pieno rispetto della normativa, attraverso una gestione ottimale delle risorse sia economiche, sia umane.</w:t>
      </w:r>
    </w:p>
    <w:p w14:paraId="42A940B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Secondo il PNA 2016, la definizione delle misure organizzative per l’attuazione effettiva degli obblighi di trasparenza costituisce un “contenuto indefettibile del PTPC”. Per effetto della nuova disciplina in materia, l’individuazione delle modalità di attuazione della trasparenza non è oggetto di un separato atto, ma è parte integrante del PTPCT come “apposita sezione”.</w:t>
      </w:r>
    </w:p>
    <w:p w14:paraId="7F990D0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tutte le categorie dei dati da pubblicare viene individuato un unico soggetto responsabile della pubblicazione nel sito internet del CND, ossia il Responsabile della pubblicazione (RP), come sotto individuato.</w:t>
      </w:r>
    </w:p>
    <w:p w14:paraId="2D94DCCB" w14:textId="7679392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 seguito della novella introdotta dal D.Lgs. 97/2016, il CND di Bolzano non è più tenuto all’adempimento degli obblighi di pubblicazione di cui all’art. 14 del D.Lgs. 33/2013, in quanto la legge non prevede alcun compenso per l’incarico di membro del Consiglio. Preso atto di ciò, ai sensi dell’art. 10, comma 3, del D.Lgs. 33/2013, così come modificato dal D.Lgs. 97/2016, il Consiglio, con delibera del 12</w:t>
      </w:r>
      <w:r w:rsidR="00543EA9" w:rsidRPr="00A10D09">
        <w:rPr>
          <w:rFonts w:asciiTheme="minorHAnsi" w:eastAsiaTheme="minorHAnsi" w:hAnsiTheme="minorHAnsi" w:cstheme="minorHAnsi"/>
          <w:bCs/>
          <w:color w:val="auto"/>
          <w:kern w:val="0"/>
          <w:sz w:val="22"/>
          <w:szCs w:val="22"/>
          <w:lang w:eastAsia="en-US"/>
        </w:rPr>
        <w:t xml:space="preserve"> gennaio </w:t>
      </w:r>
      <w:r w:rsidRPr="00A10D09">
        <w:rPr>
          <w:rFonts w:asciiTheme="minorHAnsi" w:eastAsiaTheme="minorHAnsi" w:hAnsiTheme="minorHAnsi" w:cstheme="minorHAnsi"/>
          <w:bCs/>
          <w:color w:val="auto"/>
          <w:kern w:val="0"/>
          <w:sz w:val="22"/>
          <w:szCs w:val="22"/>
          <w:lang w:eastAsia="en-US"/>
        </w:rPr>
        <w:t>2017, ha stabilito come obiettivo strategico di trasparenza che entro il 31 marzo di ogni anno vengano pubblicati i dati (privi di dati personali, in quanto non oggetto di pubblicazione obbligatoria) riguardanti i rimborsi spese versati a favore dei componenti del Consiglio per lo svolgimento delle attività istituzionali. A tal fine, entro il 28 febbraio la segretaria trasmette tali dati al RP.</w:t>
      </w:r>
    </w:p>
    <w:p w14:paraId="42E7344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Secondo quanto precisato nel PNA 2016, l’ANAC adotterà specifiche Linee guida volte a fornire chiarimenti in ordine al criterio della “compatibilità” e ai necessari adattamenti degli obblighi di trasparenza in ragione delle peculiarità organizzative e dell’attività svolta dagli ordini e collegi professionali. Non appena tali Linee guida saranno state emanate, si provvederà quindi con sollecitudine agli eventuali adeguamenti del presente PTPCT.</w:t>
      </w:r>
    </w:p>
    <w:p w14:paraId="3ACD948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BC71DB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8" w:name="__RefHeading___Toc3530_539215896"/>
      <w:bookmarkEnd w:id="18"/>
      <w:r w:rsidRPr="00A10D09">
        <w:rPr>
          <w:rFonts w:asciiTheme="minorHAnsi" w:eastAsiaTheme="minorHAnsi" w:hAnsiTheme="minorHAnsi" w:cstheme="minorHAnsi"/>
          <w:b/>
          <w:bCs/>
          <w:color w:val="auto"/>
          <w:kern w:val="0"/>
          <w:sz w:val="22"/>
          <w:szCs w:val="22"/>
          <w:lang w:eastAsia="en-US"/>
        </w:rPr>
        <w:t>7.1. Responsabili della trasmissione e della pubblicazione</w:t>
      </w:r>
    </w:p>
    <w:p w14:paraId="20CBAAD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dell’art. 10, comma 1, del D.Lgs. 33/2013, “</w:t>
      </w:r>
      <w:r w:rsidRPr="00A10D09">
        <w:rPr>
          <w:rFonts w:asciiTheme="minorHAnsi" w:eastAsiaTheme="minorHAnsi" w:hAnsiTheme="minorHAnsi" w:cstheme="minorHAnsi"/>
          <w:bCs/>
          <w:i/>
          <w:iCs/>
          <w:color w:val="auto"/>
          <w:kern w:val="0"/>
          <w:sz w:val="22"/>
          <w:szCs w:val="22"/>
          <w:lang w:eastAsia="en-US"/>
        </w:rPr>
        <w:t>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w:t>
      </w:r>
      <w:r w:rsidRPr="00A10D09">
        <w:rPr>
          <w:rFonts w:asciiTheme="minorHAnsi" w:eastAsiaTheme="minorHAnsi" w:hAnsiTheme="minorHAnsi" w:cstheme="minorHAnsi"/>
          <w:bCs/>
          <w:color w:val="auto"/>
          <w:kern w:val="0"/>
          <w:sz w:val="22"/>
          <w:szCs w:val="22"/>
          <w:lang w:eastAsia="en-US"/>
        </w:rPr>
        <w:t>”.</w:t>
      </w:r>
    </w:p>
    <w:p w14:paraId="40656D7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Vengono designati i seguenti Responsabili:</w:t>
      </w:r>
    </w:p>
    <w:p w14:paraId="0E246D82" w14:textId="77777777" w:rsidR="000847E5" w:rsidRPr="00A10D09" w:rsidRDefault="000847E5" w:rsidP="00086533">
      <w:pPr>
        <w:numPr>
          <w:ilvl w:val="0"/>
          <w:numId w:val="2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Responsabili della trasmissione (RT) sono tutti i singoli </w:t>
      </w:r>
      <w:r w:rsidRPr="00A10D09">
        <w:rPr>
          <w:rFonts w:asciiTheme="minorHAnsi" w:eastAsiaTheme="minorHAnsi" w:hAnsiTheme="minorHAnsi" w:cstheme="minorHAnsi"/>
          <w:bCs/>
          <w:color w:val="auto"/>
          <w:kern w:val="0"/>
          <w:sz w:val="22"/>
          <w:szCs w:val="22"/>
          <w:u w:val="single"/>
          <w:lang w:eastAsia="en-US"/>
        </w:rPr>
        <w:t>membri del Consiglio</w:t>
      </w:r>
      <w:r w:rsidRPr="00A10D09">
        <w:rPr>
          <w:rFonts w:asciiTheme="minorHAnsi" w:eastAsiaTheme="minorHAnsi" w:hAnsiTheme="minorHAnsi" w:cstheme="minorHAnsi"/>
          <w:bCs/>
          <w:color w:val="auto"/>
          <w:kern w:val="0"/>
          <w:sz w:val="22"/>
          <w:szCs w:val="22"/>
          <w:lang w:eastAsia="en-US"/>
        </w:rPr>
        <w:t xml:space="preserve"> e/o le singole </w:t>
      </w:r>
      <w:r w:rsidRPr="00A10D09">
        <w:rPr>
          <w:rFonts w:asciiTheme="minorHAnsi" w:eastAsiaTheme="minorHAnsi" w:hAnsiTheme="minorHAnsi" w:cstheme="minorHAnsi"/>
          <w:bCs/>
          <w:color w:val="auto"/>
          <w:kern w:val="0"/>
          <w:sz w:val="22"/>
          <w:szCs w:val="22"/>
          <w:u w:val="single"/>
          <w:lang w:eastAsia="en-US"/>
        </w:rPr>
        <w:t>segretarie</w:t>
      </w:r>
      <w:r w:rsidRPr="00A10D09">
        <w:rPr>
          <w:rFonts w:asciiTheme="minorHAnsi" w:eastAsiaTheme="minorHAnsi" w:hAnsiTheme="minorHAnsi" w:cstheme="minorHAnsi"/>
          <w:bCs/>
          <w:color w:val="auto"/>
          <w:kern w:val="0"/>
          <w:sz w:val="22"/>
          <w:szCs w:val="22"/>
          <w:lang w:eastAsia="en-US"/>
        </w:rPr>
        <w:t>;</w:t>
      </w:r>
    </w:p>
    <w:p w14:paraId="2689C575" w14:textId="77777777" w:rsidR="000847E5" w:rsidRPr="00A10D09" w:rsidRDefault="000847E5" w:rsidP="00086533">
      <w:pPr>
        <w:numPr>
          <w:ilvl w:val="0"/>
          <w:numId w:val="2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Responsabile della pubblicazione (RP) è il consigliere </w:t>
      </w:r>
      <w:r w:rsidRPr="00A10D09">
        <w:rPr>
          <w:rFonts w:asciiTheme="minorHAnsi" w:eastAsiaTheme="minorHAnsi" w:hAnsiTheme="minorHAnsi" w:cstheme="minorHAnsi"/>
          <w:bCs/>
          <w:color w:val="auto"/>
          <w:kern w:val="0"/>
          <w:sz w:val="22"/>
          <w:szCs w:val="22"/>
          <w:u w:val="single"/>
          <w:lang w:eastAsia="en-US"/>
        </w:rPr>
        <w:t>Benjamin Tengler</w:t>
      </w:r>
      <w:r w:rsidRPr="00A10D09">
        <w:rPr>
          <w:rFonts w:asciiTheme="minorHAnsi" w:eastAsiaTheme="minorHAnsi" w:hAnsiTheme="minorHAnsi" w:cstheme="minorHAnsi"/>
          <w:bCs/>
          <w:color w:val="auto"/>
          <w:kern w:val="0"/>
          <w:sz w:val="22"/>
          <w:szCs w:val="22"/>
          <w:lang w:eastAsia="en-US"/>
        </w:rPr>
        <w:t>.</w:t>
      </w:r>
    </w:p>
    <w:p w14:paraId="0E68D9F2" w14:textId="27109C0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Fermo restando il ruolo di coordinamento e controllo spettante al RPCT, il RP provvede alla pubblicazione dei documenti, delle informazioni e dei dati nel sito internet del CND nel rispetto termini previsti.</w:t>
      </w:r>
    </w:p>
    <w:p w14:paraId="677DD47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riferimento alle procedure di affidamento di lavori e di approvvigionamento di beni e servizi, il RP verifica la pubblicazione nel sito internet del CND delle seguenti informazioni per ciascuna procedura:</w:t>
      </w:r>
    </w:p>
    <w:p w14:paraId="614D5C0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l'oggetto del bando, avviso o lettera d'invito;</w:t>
      </w:r>
    </w:p>
    <w:p w14:paraId="6FD0879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 l'elenco degli operatori invitati a presentare offerte;</w:t>
      </w:r>
    </w:p>
    <w:p w14:paraId="2DEE2F7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l'aggiudicatario;</w:t>
      </w:r>
    </w:p>
    <w:p w14:paraId="259F443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l'importo di aggiudicazione;</w:t>
      </w:r>
    </w:p>
    <w:p w14:paraId="6A07D77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i tempi di completamento dell'opera, servizio o fornitura;</w:t>
      </w:r>
    </w:p>
    <w:p w14:paraId="49E24E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l'importo delle somme liquidate.</w:t>
      </w:r>
    </w:p>
    <w:p w14:paraId="09F1C14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Entro il 31 gennaio di ogni anno, tali informazioni, relativamente all'anno precedente, devono essere pubblicate in tabelle riassuntive e rese liberamente scaricabili in un formato digitale standard aperto che consenta di analizzare e rielaborare, anche a fini statistici, i dati informatici (cfr. art. 1, comma 32, della Legge 190/2012).</w:t>
      </w:r>
    </w:p>
    <w:p w14:paraId="1A91A17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 riferisce al RPCT circa eventuali criticità nel processo di pubblicazione.</w:t>
      </w:r>
    </w:p>
    <w:p w14:paraId="5FECC4D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 del Consiglio e le dipendenti del CND garantiscono il tempestivo e regolare flusso delle informazioni di propria competenza da pubblicare ai fini del rispetto dei termini stabiliti dalla legge.</w:t>
      </w:r>
    </w:p>
    <w:p w14:paraId="1948988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10FD81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9" w:name="__RefHeading___Toc3532_539215896"/>
      <w:bookmarkEnd w:id="19"/>
      <w:r w:rsidRPr="00A10D09">
        <w:rPr>
          <w:rFonts w:asciiTheme="minorHAnsi" w:eastAsiaTheme="minorHAnsi" w:hAnsiTheme="minorHAnsi" w:cstheme="minorHAnsi"/>
          <w:b/>
          <w:bCs/>
          <w:color w:val="auto"/>
          <w:kern w:val="0"/>
          <w:sz w:val="22"/>
          <w:szCs w:val="22"/>
          <w:lang w:eastAsia="en-US"/>
        </w:rPr>
        <w:t>7.2. Compiti del Consiglio</w:t>
      </w:r>
    </w:p>
    <w:p w14:paraId="27E0F56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Consiglio, ai sensi delle disposizioni di cui al D.Lgs. 33/2013:</w:t>
      </w:r>
    </w:p>
    <w:p w14:paraId="7C32E8C6"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verifica la coerenza degli obiettivi e delle misure di trasparenza;</w:t>
      </w:r>
    </w:p>
    <w:p w14:paraId="4818DFE7"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fissa gli obiettivi strategici della trasparenza;</w:t>
      </w:r>
    </w:p>
    <w:p w14:paraId="7D527103"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redige l'attestazione dell'assolvimento degli obblighi di pubblicazione;</w:t>
      </w:r>
    </w:p>
    <w:p w14:paraId="5EC686F6"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caso di verifiche d'iniziativa o di segnalazioni che conducano all'accertamento della violazione di un obbligo di pubblicazione, ne dà immediata comunicazione all'ANAC, per l'avvio di eventuali procedimenti disciplinari e/o sanzionatori;</w:t>
      </w:r>
    </w:p>
    <w:p w14:paraId="01346369"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svolge il ruolo di organo sostitutivo nella procedura di accesso civico di cui al successivo punto 7.7.</w:t>
      </w:r>
    </w:p>
    <w:p w14:paraId="51D6770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BA1371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0" w:name="__RefHeading___Toc3534_539215896"/>
      <w:bookmarkEnd w:id="20"/>
      <w:r w:rsidRPr="00A10D09">
        <w:rPr>
          <w:rFonts w:asciiTheme="minorHAnsi" w:eastAsiaTheme="minorHAnsi" w:hAnsiTheme="minorHAnsi" w:cstheme="minorHAnsi"/>
          <w:b/>
          <w:bCs/>
          <w:color w:val="auto"/>
          <w:kern w:val="0"/>
          <w:sz w:val="22"/>
          <w:szCs w:val="22"/>
          <w:lang w:eastAsia="en-US"/>
        </w:rPr>
        <w:t>7.3. Processo di attuazione della trasparenza</w:t>
      </w:r>
    </w:p>
    <w:p w14:paraId="62CC24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conseguimento degli obiettivi di trasparenza non può prescindere dal coinvolgimento completo e trasversale dei componenti/dipendenti del CND. Ogni destinatario del PTPCT interno al CND è tenuto, quindi, a contribuire a questo obiettivo, anche attraverso segnalazioni e suggerimenti, secondo il metodo già sperimentato e sopra ampiamente descritto.</w:t>
      </w:r>
    </w:p>
    <w:p w14:paraId="4C96DD5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Tutti i componenti del Consiglio e della Segreteria, ciascuno per il settore di competenza, sono pertanto responsabili per il tempestivo e regolare flusso delle informazioni da pubblicare ai fini del rispetto degli adempimenti stabiliti dalla legge. Essi sono gli interlocutori del RPCT e del RP sia in fase di assolvimento degli obblighi di trasparenza, sia nella successiva fase del monitoraggio.</w:t>
      </w:r>
    </w:p>
    <w:p w14:paraId="52B5969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trasparenza si attua attraverso:</w:t>
      </w:r>
    </w:p>
    <w:p w14:paraId="1B5EE5BD" w14:textId="77777777" w:rsidR="000847E5" w:rsidRPr="00A10D09" w:rsidRDefault="000847E5" w:rsidP="00086533">
      <w:pPr>
        <w:numPr>
          <w:ilvl w:val="0"/>
          <w:numId w:val="2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 trasmissione da parte dei RT delle informazioni da pubblicare, trasmissione che di regola avviene tramite e-mail al RP;</w:t>
      </w:r>
    </w:p>
    <w:p w14:paraId="22A0570F" w14:textId="77777777" w:rsidR="000847E5" w:rsidRPr="00A10D09" w:rsidRDefault="000847E5" w:rsidP="00086533">
      <w:pPr>
        <w:numPr>
          <w:ilvl w:val="0"/>
          <w:numId w:val="2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pubblicazione sul sito internet del CND, a cura del RP.</w:t>
      </w:r>
    </w:p>
    <w:p w14:paraId="7C38944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 svolge le funzioni di coordinamento e il monitoraggio delle attività del Consiglio e della Segreteria attraverso le seguenti modalità:</w:t>
      </w:r>
    </w:p>
    <w:p w14:paraId="219DE3C7" w14:textId="77777777" w:rsidR="000847E5" w:rsidRPr="00A10D09" w:rsidRDefault="000847E5" w:rsidP="00086533">
      <w:pPr>
        <w:numPr>
          <w:ilvl w:val="0"/>
          <w:numId w:val="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tempestiva comunicazione degli adempimenti, delle scadenze e delle modalità operative individuate per la pubblicazione;</w:t>
      </w:r>
    </w:p>
    <w:p w14:paraId="41381DBD" w14:textId="77777777" w:rsidR="000847E5" w:rsidRPr="00A10D09" w:rsidRDefault="000847E5" w:rsidP="00086533">
      <w:pPr>
        <w:numPr>
          <w:ilvl w:val="0"/>
          <w:numId w:val="7"/>
        </w:num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organizzazione di riunioni periodiche finalizzate al monitoraggio dell'avanzamento delle attività.</w:t>
      </w:r>
    </w:p>
    <w:p w14:paraId="20D9AA56"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p>
    <w:p w14:paraId="5968747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1" w:name="__RefHeading___Toc3536_539215896"/>
      <w:bookmarkEnd w:id="21"/>
      <w:r w:rsidRPr="00A10D09">
        <w:rPr>
          <w:rFonts w:asciiTheme="minorHAnsi" w:eastAsiaTheme="minorHAnsi" w:hAnsiTheme="minorHAnsi" w:cstheme="minorHAnsi"/>
          <w:b/>
          <w:bCs/>
          <w:color w:val="auto"/>
          <w:kern w:val="0"/>
          <w:sz w:val="22"/>
          <w:szCs w:val="22"/>
          <w:lang w:eastAsia="en-US"/>
        </w:rPr>
        <w:t>7.4. La sezione “Amministrazione trasparente”</w:t>
      </w:r>
    </w:p>
    <w:p w14:paraId="1747EC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sito internet istituzionale del CND è www.notai.bz.it.</w:t>
      </w:r>
    </w:p>
    <w:p w14:paraId="3D4F18E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All'interno di esso è pubblicata la sezione “Amministrazione trasparente”, in cui sono assolti gli obblighi di pubblicazione di cui alla Legge 190/2012, al D.Lgs. 33/2013 e al D.Lgs. 39/2013.</w:t>
      </w:r>
    </w:p>
    <w:p w14:paraId="1E7AA238" w14:textId="5693675C"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sezione “Amministrazione trasparente” contiene i dati, le informazioni e i documenti che il CND è tenuto a pubblicare ai sensi della normativa vigente, come indicati nell'Allegato -A- del D.Lgs. 33/2103, modificato dal D.Lgs. 97/2016, e nell’Allegato alle Linee guida ANAC del 28</w:t>
      </w:r>
      <w:r w:rsidR="00543EA9" w:rsidRPr="00A10D09">
        <w:rPr>
          <w:rFonts w:asciiTheme="minorHAnsi" w:eastAsiaTheme="minorHAnsi" w:hAnsiTheme="minorHAnsi" w:cstheme="minorHAnsi"/>
          <w:bCs/>
          <w:color w:val="auto"/>
          <w:kern w:val="0"/>
          <w:sz w:val="22"/>
          <w:szCs w:val="22"/>
          <w:lang w:eastAsia="en-US"/>
        </w:rPr>
        <w:t xml:space="preserve"> dicembre </w:t>
      </w:r>
      <w:r w:rsidRPr="00A10D09">
        <w:rPr>
          <w:rFonts w:asciiTheme="minorHAnsi" w:eastAsiaTheme="minorHAnsi" w:hAnsiTheme="minorHAnsi" w:cstheme="minorHAnsi"/>
          <w:bCs/>
          <w:color w:val="auto"/>
          <w:kern w:val="0"/>
          <w:sz w:val="22"/>
          <w:szCs w:val="22"/>
          <w:lang w:eastAsia="en-US"/>
        </w:rPr>
        <w:t>2016.</w:t>
      </w:r>
    </w:p>
    <w:p w14:paraId="61AE0B7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6CF9EAB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2" w:name="__RefHeading___Toc3538_539215896"/>
      <w:bookmarkEnd w:id="22"/>
      <w:r w:rsidRPr="00A10D09">
        <w:rPr>
          <w:rFonts w:asciiTheme="minorHAnsi" w:eastAsiaTheme="minorHAnsi" w:hAnsiTheme="minorHAnsi" w:cstheme="minorHAnsi"/>
          <w:b/>
          <w:bCs/>
          <w:color w:val="auto"/>
          <w:kern w:val="0"/>
          <w:sz w:val="22"/>
          <w:szCs w:val="22"/>
          <w:lang w:eastAsia="en-US"/>
        </w:rPr>
        <w:t>7.5. Qualità dei dati e delle informazioni soggette ad obbligo di pubblicazione</w:t>
      </w:r>
    </w:p>
    <w:p w14:paraId="4AAEEB5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documenti contenenti informazioni e dati oggetto di pubblicazione obbligatoria ai sensi della normativa vigente, sono pubblicati e mantenuti aggiornati come previsto dalla Legge 190/2012, dal D.Lgs. 33/2013 e dagli altri atti normativi che dispongono in tal senso.</w:t>
      </w:r>
    </w:p>
    <w:p w14:paraId="33882A2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informazioni riportate nella sezione “Amministrazione trasparente” del sito internet www.notai.bz.it devono rispondere ai requisiti di integrità, costante aggiornamento, completezza, tempestività di pubblicazione, semplicità di consultazione, comprensibilità, omogeneità, facile accessibilità, nonché della conformità ai documenti originali in possesso del CND.</w:t>
      </w:r>
    </w:p>
    <w:p w14:paraId="09C4D13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5E9AD85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3" w:name="__RefHeading___Toc3540_539215896"/>
      <w:bookmarkEnd w:id="23"/>
      <w:r w:rsidRPr="00A10D09">
        <w:rPr>
          <w:rFonts w:asciiTheme="minorHAnsi" w:eastAsiaTheme="minorHAnsi" w:hAnsiTheme="minorHAnsi" w:cstheme="minorHAnsi"/>
          <w:b/>
          <w:bCs/>
          <w:color w:val="auto"/>
          <w:kern w:val="0"/>
          <w:sz w:val="22"/>
          <w:szCs w:val="22"/>
          <w:lang w:eastAsia="en-US"/>
        </w:rPr>
        <w:t>7.6. Categorie dei dati da pubblicare, soggetti responsabili e termini della trasmissione</w:t>
      </w:r>
    </w:p>
    <w:p w14:paraId="75694AC7" w14:textId="440AA94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Si veda l’</w:t>
      </w:r>
      <w:r w:rsidR="00543EA9" w:rsidRPr="00A10D09">
        <w:rPr>
          <w:rFonts w:asciiTheme="minorHAnsi" w:eastAsiaTheme="minorHAnsi" w:hAnsiTheme="minorHAnsi" w:cstheme="minorHAnsi"/>
          <w:bCs/>
          <w:color w:val="auto"/>
          <w:kern w:val="0"/>
          <w:sz w:val="22"/>
          <w:szCs w:val="22"/>
          <w:lang w:eastAsia="en-US"/>
        </w:rPr>
        <w:t>A</w:t>
      </w:r>
      <w:r w:rsidRPr="00A10D09">
        <w:rPr>
          <w:rFonts w:asciiTheme="minorHAnsi" w:eastAsiaTheme="minorHAnsi" w:hAnsiTheme="minorHAnsi" w:cstheme="minorHAnsi"/>
          <w:bCs/>
          <w:color w:val="auto"/>
          <w:kern w:val="0"/>
          <w:sz w:val="22"/>
          <w:szCs w:val="22"/>
          <w:lang w:eastAsia="en-US"/>
        </w:rPr>
        <w:t>llegato "D" del presente PTPCT, strutturato secondo quanto previsto dall’Allegato alle Linee guida ANAC del 28</w:t>
      </w:r>
      <w:r w:rsidR="00543EA9" w:rsidRPr="00A10D09">
        <w:rPr>
          <w:rFonts w:asciiTheme="minorHAnsi" w:eastAsiaTheme="minorHAnsi" w:hAnsiTheme="minorHAnsi" w:cstheme="minorHAnsi"/>
          <w:bCs/>
          <w:color w:val="auto"/>
          <w:kern w:val="0"/>
          <w:sz w:val="22"/>
          <w:szCs w:val="22"/>
          <w:lang w:eastAsia="en-US"/>
        </w:rPr>
        <w:t xml:space="preserve"> dicembre </w:t>
      </w:r>
      <w:r w:rsidRPr="00A10D09">
        <w:rPr>
          <w:rFonts w:asciiTheme="minorHAnsi" w:eastAsiaTheme="minorHAnsi" w:hAnsiTheme="minorHAnsi" w:cstheme="minorHAnsi"/>
          <w:bCs/>
          <w:color w:val="auto"/>
          <w:kern w:val="0"/>
          <w:sz w:val="22"/>
          <w:szCs w:val="22"/>
          <w:lang w:eastAsia="en-US"/>
        </w:rPr>
        <w:t>2016.</w:t>
      </w:r>
    </w:p>
    <w:p w14:paraId="6366ACB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4FC4B5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4" w:name="__RefHeading___Toc3769_1057308258"/>
      <w:bookmarkEnd w:id="24"/>
      <w:r w:rsidRPr="00A10D09">
        <w:rPr>
          <w:rFonts w:asciiTheme="minorHAnsi" w:eastAsiaTheme="minorHAnsi" w:hAnsiTheme="minorHAnsi" w:cstheme="minorHAnsi"/>
          <w:b/>
          <w:bCs/>
          <w:color w:val="auto"/>
          <w:kern w:val="0"/>
          <w:sz w:val="22"/>
          <w:szCs w:val="22"/>
          <w:lang w:eastAsia="en-US"/>
        </w:rPr>
        <w:t>7.7. Accesso civico</w:t>
      </w:r>
    </w:p>
    <w:p w14:paraId="0DE2E2D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L'accesso civico, così come riformulato dal D.Lgs. 97/2016, consiste nel diritto di chiunque (senza necessità di dimostrare alcuna legittimazione):</w:t>
      </w:r>
    </w:p>
    <w:p w14:paraId="5424CF08" w14:textId="77777777" w:rsidR="000847E5" w:rsidRPr="00A10D09" w:rsidRDefault="000847E5" w:rsidP="00086533">
      <w:pPr>
        <w:numPr>
          <w:ilvl w:val="0"/>
          <w:numId w:val="2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di richiedere al CND documenti, informazioni o dati, nei casi in cui sia stata omessa la loro pubblicazione (art. 5, comma 1, del D.Lgs. 33/2013);</w:t>
      </w:r>
    </w:p>
    <w:p w14:paraId="232754F4" w14:textId="77777777" w:rsidR="000847E5" w:rsidRPr="00A10D09" w:rsidRDefault="000847E5" w:rsidP="00086533">
      <w:pPr>
        <w:numPr>
          <w:ilvl w:val="0"/>
          <w:numId w:val="2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di accedere ai dati e ai documenti detenuti dal CND, ulteriori rispetto a quelli oggetto di pubblicazione obbligatoria ai sensi della normativa vigente, nel rispetto dei limiti relativi alla tutela di interessi pubblici e privati giuridicamente rilevanti (art. 5, comma 2, del D.Lgs. 33/2013).</w:t>
      </w:r>
    </w:p>
    <w:p w14:paraId="36F2CF7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diritto di accesso civico è disciplinato dagli art. 5 e 5-bis del D.Lgs. 33/2013 e può essere esercitato nei confronti del CND inviando una richiesta, gratuita e che non deve essere motivata, attraverso le seguenti modalità:</w:t>
      </w:r>
    </w:p>
    <w:p w14:paraId="1C0DABE6" w14:textId="77777777" w:rsidR="000847E5" w:rsidRPr="00A10D09" w:rsidRDefault="000847E5" w:rsidP="00086533">
      <w:pPr>
        <w:numPr>
          <w:ilvl w:val="0"/>
          <w:numId w:val="2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un messaggio di posta elettronica all'indirizzo:</w:t>
      </w:r>
      <w:bookmarkStart w:id="25" w:name="__DdeLink__1561_788101114"/>
      <w:r w:rsidRPr="00A10D09">
        <w:rPr>
          <w:rFonts w:asciiTheme="minorHAnsi" w:eastAsiaTheme="minorHAnsi" w:hAnsiTheme="minorHAnsi" w:cstheme="minorHAnsi"/>
          <w:bCs/>
          <w:color w:val="auto"/>
          <w:kern w:val="0"/>
          <w:sz w:val="22"/>
          <w:szCs w:val="22"/>
          <w:lang w:eastAsia="en-US"/>
        </w:rPr>
        <w:t xml:space="preserve"> consigliobolzano@notariato.it</w:t>
      </w:r>
      <w:bookmarkEnd w:id="25"/>
      <w:r w:rsidRPr="00A10D09">
        <w:rPr>
          <w:rFonts w:asciiTheme="minorHAnsi" w:eastAsiaTheme="minorHAnsi" w:hAnsiTheme="minorHAnsi" w:cstheme="minorHAnsi"/>
          <w:bCs/>
          <w:color w:val="auto"/>
          <w:kern w:val="0"/>
          <w:sz w:val="22"/>
          <w:szCs w:val="22"/>
          <w:lang w:eastAsia="en-US"/>
        </w:rPr>
        <w:t>, all'attenzione del “Responsabile della prevenzione della corruzione e della trasparenza”; nel messaggio devono essere indicati i dati, le informazioni o i documenti per i quali si chiede l'accesso civico, nonché le generalità del richiedente e un indirizzo postale o di posta elettronica dove poter fornire riscontro alla richiesta;</w:t>
      </w:r>
    </w:p>
    <w:p w14:paraId="53885BB6" w14:textId="77777777" w:rsidR="000847E5" w:rsidRPr="00A10D09" w:rsidRDefault="000847E5" w:rsidP="00086533">
      <w:pPr>
        <w:numPr>
          <w:ilvl w:val="0"/>
          <w:numId w:val="2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posta ordinaria, contenente i dati di cui al punto sub 1), all'indirizzo: Consiglio Notarile di Bolzano, c.a. Responsabile della prevenzione della corruzione e della trasparenza, Via Rosmini n. 4, 39100 Bolzano (BZ).</w:t>
      </w:r>
    </w:p>
    <w:p w14:paraId="3133480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mancata risposta alla richiesta di accesso civico, decorsi trenta giorni, l'istante può richiedere l'esercizio del potere sostitutivo al Consiglio, attraverso le seguenti modalità:</w:t>
      </w:r>
    </w:p>
    <w:p w14:paraId="1760335B" w14:textId="77777777" w:rsidR="000847E5" w:rsidRPr="00A10D09" w:rsidRDefault="000847E5" w:rsidP="00086533">
      <w:pPr>
        <w:numPr>
          <w:ilvl w:val="0"/>
          <w:numId w:val="2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un messaggio di posta elettronica all'indirizzo: consigliobolzano@notariato.it; nel messaggio devono essere indicati i dati, le informazioni o i documenti per i quali si era richiesto l'accesso civico e la data nella quale si era presentata l'istanza, nonché le generalità del richiedente e un indirizzo postale o di posta elettronica dove poter fornire riscontro alla richiesta;</w:t>
      </w:r>
    </w:p>
    <w:p w14:paraId="609EDD9C" w14:textId="77777777" w:rsidR="000847E5" w:rsidRPr="00A10D09" w:rsidRDefault="000847E5" w:rsidP="00086533">
      <w:pPr>
        <w:numPr>
          <w:ilvl w:val="0"/>
          <w:numId w:val="2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posta ordinaria, contenente i dati di cui al punto sub 1), all'indirizzo: Consiglio Notarile di Bolzano, Via Rosmini n. 4, 39100 Bolzano (BZ).</w:t>
      </w:r>
    </w:p>
    <w:p w14:paraId="49A8825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609C0C5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6" w:name="__RefHeading___Toc4430_244245468"/>
      <w:bookmarkEnd w:id="26"/>
    </w:p>
    <w:p w14:paraId="416A21EA" w14:textId="2BBE4ADE"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27" w:name="__RefHeading___Toc3542_539215896"/>
      <w:bookmarkEnd w:id="27"/>
      <w:r w:rsidRPr="00A10D09">
        <w:rPr>
          <w:rFonts w:asciiTheme="minorHAnsi" w:eastAsiaTheme="minorHAnsi" w:hAnsiTheme="minorHAnsi" w:cstheme="minorHAnsi"/>
          <w:b/>
          <w:bCs/>
          <w:color w:val="auto"/>
          <w:kern w:val="0"/>
          <w:sz w:val="22"/>
          <w:szCs w:val="22"/>
          <w:lang w:eastAsia="en-US"/>
        </w:rPr>
        <w:t>8. ALLEGATI AL PTPCT</w:t>
      </w:r>
    </w:p>
    <w:p w14:paraId="6E97BAC7" w14:textId="72AD956B" w:rsidR="000847E5" w:rsidRPr="00A10D09" w:rsidRDefault="000847E5" w:rsidP="00086533">
      <w:pPr>
        <w:suppressAutoHyphens w:val="0"/>
        <w:spacing w:line="276" w:lineRule="auto"/>
        <w:jc w:val="both"/>
        <w:rPr>
          <w:rFonts w:asciiTheme="minorHAnsi" w:eastAsiaTheme="minorHAnsi" w:hAnsiTheme="minorHAnsi" w:cstheme="minorHAnsi"/>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"A"</w:t>
      </w:r>
      <w:r w:rsidR="00EC4CCF" w:rsidRPr="00A10D09">
        <w:rPr>
          <w:rFonts w:asciiTheme="minorHAnsi" w:eastAsiaTheme="minorHAnsi" w:hAnsiTheme="minorHAnsi" w:cstheme="minorHAnsi"/>
          <w:color w:val="auto"/>
          <w:kern w:val="0"/>
          <w:sz w:val="22"/>
          <w:szCs w:val="22"/>
          <w:lang w:eastAsia="en-US"/>
        </w:rPr>
        <w:t xml:space="preserve"> - </w:t>
      </w:r>
      <w:r w:rsidRPr="00A10D09">
        <w:rPr>
          <w:rFonts w:asciiTheme="minorHAnsi" w:eastAsiaTheme="minorHAnsi" w:hAnsiTheme="minorHAnsi" w:cstheme="minorHAnsi"/>
          <w:color w:val="auto"/>
          <w:kern w:val="0"/>
          <w:sz w:val="22"/>
          <w:szCs w:val="22"/>
          <w:lang w:eastAsia="en-US"/>
        </w:rPr>
        <w:t>Mappatura dei processi del CND di Bolzano</w:t>
      </w:r>
    </w:p>
    <w:p w14:paraId="70DD9574" w14:textId="1CAB0B0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"B"</w:t>
      </w:r>
      <w:r w:rsidR="00EC4CCF" w:rsidRPr="00A10D09">
        <w:rPr>
          <w:rFonts w:asciiTheme="minorHAnsi" w:eastAsiaTheme="minorHAnsi" w:hAnsiTheme="minorHAnsi" w:cstheme="minorHAnsi"/>
          <w:bCs/>
          <w:color w:val="auto"/>
          <w:kern w:val="0"/>
          <w:sz w:val="22"/>
          <w:szCs w:val="22"/>
          <w:lang w:eastAsia="en-US"/>
        </w:rPr>
        <w:t xml:space="preserve"> - </w:t>
      </w:r>
      <w:r w:rsidRPr="00A10D09">
        <w:rPr>
          <w:rFonts w:asciiTheme="minorHAnsi" w:eastAsiaTheme="minorHAnsi" w:hAnsiTheme="minorHAnsi" w:cstheme="minorHAnsi"/>
          <w:bCs/>
          <w:color w:val="auto"/>
          <w:kern w:val="0"/>
          <w:sz w:val="22"/>
          <w:szCs w:val="22"/>
          <w:lang w:eastAsia="en-US"/>
        </w:rPr>
        <w:t>Registro degli eventi rischiosi</w:t>
      </w:r>
    </w:p>
    <w:p w14:paraId="57E6F5EC" w14:textId="09955AFA"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"C"</w:t>
      </w:r>
      <w:r w:rsidR="00EC4CCF" w:rsidRPr="00A10D09">
        <w:rPr>
          <w:rFonts w:asciiTheme="minorHAnsi" w:eastAsiaTheme="minorHAnsi" w:hAnsiTheme="minorHAnsi" w:cstheme="minorHAnsi"/>
          <w:bCs/>
          <w:color w:val="auto"/>
          <w:kern w:val="0"/>
          <w:sz w:val="22"/>
          <w:szCs w:val="22"/>
          <w:lang w:eastAsia="en-US"/>
        </w:rPr>
        <w:t xml:space="preserve"> - </w:t>
      </w:r>
      <w:r w:rsidRPr="00A10D09">
        <w:rPr>
          <w:rFonts w:asciiTheme="minorHAnsi" w:eastAsiaTheme="minorHAnsi" w:hAnsiTheme="minorHAnsi" w:cstheme="minorHAnsi"/>
          <w:bCs/>
          <w:color w:val="auto"/>
          <w:kern w:val="0"/>
          <w:sz w:val="22"/>
          <w:szCs w:val="22"/>
          <w:lang w:eastAsia="en-US"/>
        </w:rPr>
        <w:t>Programmazione e monitoraggio delle misure</w:t>
      </w:r>
    </w:p>
    <w:p w14:paraId="63E8FAC9" w14:textId="5C43784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"D"</w:t>
      </w:r>
      <w:bookmarkStart w:id="28" w:name="__RefHeading___Toc4432_244245468"/>
      <w:bookmarkEnd w:id="28"/>
      <w:r w:rsidR="00EC4CCF" w:rsidRPr="00A10D09">
        <w:rPr>
          <w:rFonts w:asciiTheme="minorHAnsi" w:eastAsiaTheme="minorHAnsi" w:hAnsiTheme="minorHAnsi" w:cstheme="minorHAnsi"/>
          <w:bCs/>
          <w:color w:val="auto"/>
          <w:kern w:val="0"/>
          <w:sz w:val="22"/>
          <w:szCs w:val="22"/>
          <w:lang w:eastAsia="en-US"/>
        </w:rPr>
        <w:t xml:space="preserve"> - </w:t>
      </w:r>
      <w:r w:rsidRPr="00A10D09">
        <w:rPr>
          <w:rFonts w:asciiTheme="minorHAnsi" w:eastAsiaTheme="minorHAnsi" w:hAnsiTheme="minorHAnsi" w:cstheme="minorHAnsi"/>
          <w:bCs/>
          <w:color w:val="auto"/>
          <w:kern w:val="0"/>
          <w:sz w:val="22"/>
          <w:szCs w:val="22"/>
          <w:lang w:eastAsia="en-US"/>
        </w:rPr>
        <w:t>Categorie dei dati da pubblicare, con indicazione dei soggetti responsabili e dei termini della trasmissione</w:t>
      </w:r>
    </w:p>
    <w:p w14:paraId="7279C22F" w14:textId="27EB8F47" w:rsidR="00F500A2" w:rsidRPr="00A10D09" w:rsidRDefault="00F500A2"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2E4670B" w14:textId="1FC7145D" w:rsidR="00F500A2" w:rsidRPr="00A10D09" w:rsidRDefault="00F500A2"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3364FC2B" w14:textId="77777777" w:rsidR="00F500A2" w:rsidRPr="00A10D09" w:rsidRDefault="00F500A2"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bookmarkEnd w:id="1"/>
    <w:sectPr w:rsidR="00F500A2" w:rsidRPr="00A10D09">
      <w:headerReference w:type="default" r:id="rId8"/>
      <w:footerReference w:type="default" r:id="rId9"/>
      <w:pgSz w:w="11906" w:h="16838"/>
      <w:pgMar w:top="1417" w:right="1134" w:bottom="1134" w:left="1134" w:header="720" w:footer="720" w:gutter="0"/>
      <w:cols w:space="720"/>
      <w:docGrid w:linePitch="600" w:charSpace="348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88A2F" w14:textId="77777777" w:rsidR="00B1493B" w:rsidRDefault="00B1493B">
      <w:pPr>
        <w:spacing w:after="0" w:line="240" w:lineRule="auto"/>
      </w:pPr>
      <w:r>
        <w:separator/>
      </w:r>
    </w:p>
  </w:endnote>
  <w:endnote w:type="continuationSeparator" w:id="0">
    <w:p w14:paraId="700E5120" w14:textId="77777777" w:rsidR="00B1493B" w:rsidRDefault="00B1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Kursiv"/>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BCFC" w14:textId="08004EB0" w:rsidR="009D12FD" w:rsidRPr="009C762A" w:rsidRDefault="009D12FD" w:rsidP="006627D2">
    <w:pPr>
      <w:pStyle w:val="Pidipagina"/>
      <w:jc w:val="both"/>
      <w:rPr>
        <w:b/>
        <w:bCs/>
        <w:kern w:val="23"/>
        <w:sz w:val="20"/>
      </w:rPr>
    </w:pPr>
    <w:r w:rsidRPr="009C762A">
      <w:rPr>
        <w:b/>
        <w:bCs/>
        <w:smallCaps/>
        <w:kern w:val="23"/>
        <w:sz w:val="20"/>
      </w:rPr>
      <w:t>Consiglio notarile di Bolzano</w:t>
    </w:r>
    <w:r w:rsidR="006627D2" w:rsidRPr="009C762A">
      <w:rPr>
        <w:b/>
        <w:bCs/>
        <w:smallCaps/>
        <w:kern w:val="23"/>
        <w:sz w:val="20"/>
      </w:rPr>
      <w:t xml:space="preserve"> </w:t>
    </w:r>
    <w:r w:rsidR="006627D2" w:rsidRPr="009C762A">
      <w:rPr>
        <w:b/>
        <w:bCs/>
        <w:smallCaps/>
        <w:kern w:val="23"/>
        <w:sz w:val="20"/>
      </w:rPr>
      <w:tab/>
    </w:r>
    <w:r w:rsidR="006627D2" w:rsidRPr="009C762A">
      <w:rPr>
        <w:b/>
        <w:bCs/>
        <w:smallCaps/>
        <w:kern w:val="23"/>
        <w:sz w:val="20"/>
      </w:rPr>
      <w:tab/>
    </w:r>
    <w:r w:rsidR="006627D2" w:rsidRPr="009C762A">
      <w:rPr>
        <w:b/>
        <w:bCs/>
        <w:kern w:val="23"/>
        <w:sz w:val="20"/>
      </w:rPr>
      <w:t xml:space="preserve">Pagina </w:t>
    </w:r>
    <w:r w:rsidR="006627D2" w:rsidRPr="009C762A">
      <w:rPr>
        <w:b/>
        <w:bCs/>
        <w:kern w:val="23"/>
        <w:sz w:val="20"/>
      </w:rPr>
      <w:fldChar w:fldCharType="begin"/>
    </w:r>
    <w:r w:rsidR="006627D2" w:rsidRPr="009C762A">
      <w:rPr>
        <w:b/>
        <w:bCs/>
        <w:kern w:val="23"/>
        <w:sz w:val="20"/>
      </w:rPr>
      <w:instrText>PAGE  \* Arabic  \* MERGEFORMAT</w:instrText>
    </w:r>
    <w:r w:rsidR="006627D2" w:rsidRPr="009C762A">
      <w:rPr>
        <w:b/>
        <w:bCs/>
        <w:kern w:val="23"/>
        <w:sz w:val="20"/>
      </w:rPr>
      <w:fldChar w:fldCharType="separate"/>
    </w:r>
    <w:r w:rsidR="006627D2" w:rsidRPr="009C762A">
      <w:rPr>
        <w:b/>
        <w:bCs/>
        <w:kern w:val="23"/>
        <w:sz w:val="20"/>
      </w:rPr>
      <w:t>1</w:t>
    </w:r>
    <w:r w:rsidR="006627D2" w:rsidRPr="009C762A">
      <w:rPr>
        <w:b/>
        <w:bCs/>
        <w:kern w:val="23"/>
        <w:sz w:val="20"/>
      </w:rPr>
      <w:fldChar w:fldCharType="end"/>
    </w:r>
    <w:r w:rsidR="006627D2" w:rsidRPr="009C762A">
      <w:rPr>
        <w:b/>
        <w:bCs/>
        <w:kern w:val="23"/>
        <w:sz w:val="20"/>
      </w:rPr>
      <w:t xml:space="preserve"> di </w:t>
    </w:r>
    <w:r w:rsidR="006627D2" w:rsidRPr="009C762A">
      <w:rPr>
        <w:b/>
        <w:bCs/>
        <w:kern w:val="23"/>
        <w:sz w:val="20"/>
      </w:rPr>
      <w:fldChar w:fldCharType="begin"/>
    </w:r>
    <w:r w:rsidR="006627D2" w:rsidRPr="009C762A">
      <w:rPr>
        <w:b/>
        <w:bCs/>
        <w:kern w:val="23"/>
        <w:sz w:val="20"/>
      </w:rPr>
      <w:instrText>NUMPAGES  \* Arabic  \* MERGEFORMAT</w:instrText>
    </w:r>
    <w:r w:rsidR="006627D2" w:rsidRPr="009C762A">
      <w:rPr>
        <w:b/>
        <w:bCs/>
        <w:kern w:val="23"/>
        <w:sz w:val="20"/>
      </w:rPr>
      <w:fldChar w:fldCharType="separate"/>
    </w:r>
    <w:r w:rsidR="006627D2" w:rsidRPr="009C762A">
      <w:rPr>
        <w:b/>
        <w:bCs/>
        <w:kern w:val="23"/>
        <w:sz w:val="20"/>
      </w:rPr>
      <w:t>2</w:t>
    </w:r>
    <w:r w:rsidR="006627D2" w:rsidRPr="009C762A">
      <w:rPr>
        <w:b/>
        <w:bCs/>
        <w:kern w:val="23"/>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7E46" w14:textId="77777777" w:rsidR="00B1493B" w:rsidRDefault="00B1493B">
      <w:pPr>
        <w:spacing w:after="0" w:line="240" w:lineRule="auto"/>
      </w:pPr>
      <w:r>
        <w:separator/>
      </w:r>
    </w:p>
  </w:footnote>
  <w:footnote w:type="continuationSeparator" w:id="0">
    <w:p w14:paraId="61A0F93D" w14:textId="77777777" w:rsidR="00B1493B" w:rsidRDefault="00B1493B">
      <w:pPr>
        <w:spacing w:after="0" w:line="240" w:lineRule="auto"/>
      </w:pPr>
      <w:r>
        <w:continuationSeparator/>
      </w:r>
    </w:p>
  </w:footnote>
  <w:footnote w:id="1">
    <w:p w14:paraId="28B891A8" w14:textId="165FF679" w:rsidR="000847E5" w:rsidRDefault="000847E5" w:rsidP="000847E5">
      <w:pPr>
        <w:pageBreakBefore/>
        <w:jc w:val="both"/>
      </w:pPr>
      <w:r>
        <w:t>(*)</w:t>
      </w:r>
      <w:r>
        <w:rPr>
          <w:sz w:val="16"/>
          <w:szCs w:val="16"/>
        </w:rPr>
        <w:t>I reati dai quali è possibile evincere la nozione (penalistica) di corruzione, assunta nell'ordinamento italiano, sono: peculato (art. 314 c.p.); peculato mediante profitto dell'errore altrui (art. 316 c.p.); indebita ricezione, o accettazione della promessa, da parte di un pubblico ufficiale, per sé o per un terzo, di denaro o altra utilità per l'esercizio delle sue funzioni o dei suoi poteri (art. 318 c.p., corruzione per l'esercizio della funzione); indebita ricezione, o accettazione della promessa, da parte di un pubblico ufficiale, per sé o per un terzo, di denaro o altra utilità per omettere o ritardare o per aver omesso o ritardato un atto del suo ufficio, ovvero per compiere o per aver compiuto un atto contrario ai doveri di ufficio (art. 319 c.p., corruzione per un atto contrario ai doveri d'ufficio); abuso, da parte del pubblico ufficiale, della sua qualità o dei suoi poteri, nell'indurre taluno a dare o a promettere indebitamente, a lui o a un terzo, denaro o altra utilità (art. 319-quater c.p.); corruzione di persona incaricata di un pubblico servizio (art. 320 c.p.); istigazione alla corruzione (art. 322 c.p.); concussione (art. 317 c.p.); abuso d'ufficio (art. 323 c.p.); rifiuto di atti d'ufficio, omissione (art. 328 c.p.); traffico illecito di influenze (art. 346-bis c.p.); turbata libertà degli incanti (art. 353 c.p.); turbata libertà del procedimento di scelta del contraente (art.353 -bis c.p.). Le pene per i predetti reati sono state recentemente inasprite dalla Legge 27 maggio 2015 n. 69, recante “Disposizioni in materia di delitti contro la pubblica amministrazione, di associazioni di tipo mafioso e di falso in bilancio”.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3C80" w14:textId="3D5453CF" w:rsidR="009D12FD" w:rsidRPr="009C762A" w:rsidRDefault="009D12FD" w:rsidP="009D12FD">
    <w:pPr>
      <w:pStyle w:val="Intestazione"/>
      <w:jc w:val="center"/>
      <w:rPr>
        <w:b/>
        <w:bCs/>
        <w:smallCaps/>
        <w:kern w:val="23"/>
        <w:sz w:val="20"/>
      </w:rPr>
    </w:pPr>
    <w:r w:rsidRPr="009C762A">
      <w:rPr>
        <w:b/>
        <w:bCs/>
        <w:smallCaps/>
        <w:kern w:val="23"/>
        <w:sz w:val="20"/>
      </w:rPr>
      <w:t>Piano triennale per la prevenzione della corruzione 2021-2023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mbria" w:hAnsi="Cambria" w:cs="Cambria"/>
        <w:sz w:val="22"/>
      </w:rPr>
    </w:lvl>
    <w:lvl w:ilvl="1">
      <w:start w:val="1"/>
      <w:numFmt w:val="decimal"/>
      <w:lvlText w:val="%2."/>
      <w:lvlJc w:val="left"/>
      <w:pPr>
        <w:tabs>
          <w:tab w:val="num" w:pos="0"/>
        </w:tabs>
        <w:ind w:left="1080" w:hanging="360"/>
      </w:pPr>
      <w:rPr>
        <w:rFonts w:cs="Times New Roman"/>
        <w:b w:val="0"/>
        <w:bCs w:val="0"/>
        <w:sz w:val="22"/>
      </w:rPr>
    </w:lvl>
    <w:lvl w:ilvl="2">
      <w:start w:val="1"/>
      <w:numFmt w:val="decimal"/>
      <w:lvlText w:val="%2.%3."/>
      <w:lvlJc w:val="left"/>
      <w:pPr>
        <w:tabs>
          <w:tab w:val="num" w:pos="0"/>
        </w:tabs>
        <w:ind w:left="1440" w:hanging="360"/>
      </w:pPr>
      <w:rPr>
        <w:rFonts w:cs="Times New Roman"/>
        <w:b w:val="0"/>
        <w:bCs w:val="0"/>
        <w:sz w:val="22"/>
      </w:rPr>
    </w:lvl>
    <w:lvl w:ilvl="3">
      <w:start w:val="1"/>
      <w:numFmt w:val="decimal"/>
      <w:lvlText w:val="%2.%3.%4."/>
      <w:lvlJc w:val="left"/>
      <w:pPr>
        <w:tabs>
          <w:tab w:val="num" w:pos="0"/>
        </w:tabs>
        <w:ind w:left="1800" w:hanging="360"/>
      </w:pPr>
      <w:rPr>
        <w:rFonts w:cs="Times New Roman"/>
        <w:b w:val="0"/>
        <w:bCs w:val="0"/>
        <w:sz w:val="22"/>
      </w:rPr>
    </w:lvl>
    <w:lvl w:ilvl="4">
      <w:start w:val="1"/>
      <w:numFmt w:val="decimal"/>
      <w:lvlText w:val="%2.%3.%4.%5."/>
      <w:lvlJc w:val="left"/>
      <w:pPr>
        <w:tabs>
          <w:tab w:val="num" w:pos="0"/>
        </w:tabs>
        <w:ind w:left="2160" w:hanging="360"/>
      </w:pPr>
      <w:rPr>
        <w:rFonts w:cs="Times New Roman"/>
        <w:b w:val="0"/>
        <w:bCs w:val="0"/>
        <w:sz w:val="22"/>
      </w:rPr>
    </w:lvl>
    <w:lvl w:ilvl="5">
      <w:start w:val="1"/>
      <w:numFmt w:val="decimal"/>
      <w:lvlText w:val="%2.%3.%4.%5.%6."/>
      <w:lvlJc w:val="left"/>
      <w:pPr>
        <w:tabs>
          <w:tab w:val="num" w:pos="0"/>
        </w:tabs>
        <w:ind w:left="2520" w:hanging="360"/>
      </w:pPr>
      <w:rPr>
        <w:rFonts w:cs="Times New Roman"/>
        <w:b w:val="0"/>
        <w:bCs w:val="0"/>
        <w:sz w:val="22"/>
      </w:rPr>
    </w:lvl>
    <w:lvl w:ilvl="6">
      <w:start w:val="1"/>
      <w:numFmt w:val="decimal"/>
      <w:lvlText w:val="%2.%3.%4.%5.%6.%7."/>
      <w:lvlJc w:val="left"/>
      <w:pPr>
        <w:tabs>
          <w:tab w:val="num" w:pos="0"/>
        </w:tabs>
        <w:ind w:left="2880" w:hanging="360"/>
      </w:pPr>
      <w:rPr>
        <w:rFonts w:cs="Times New Roman"/>
        <w:b w:val="0"/>
        <w:bCs w:val="0"/>
        <w:sz w:val="22"/>
      </w:rPr>
    </w:lvl>
    <w:lvl w:ilvl="7">
      <w:start w:val="1"/>
      <w:numFmt w:val="decimal"/>
      <w:lvlText w:val="%2.%3.%4.%5.%6.%7.%8."/>
      <w:lvlJc w:val="left"/>
      <w:pPr>
        <w:tabs>
          <w:tab w:val="num" w:pos="0"/>
        </w:tabs>
        <w:ind w:left="3240" w:hanging="360"/>
      </w:pPr>
      <w:rPr>
        <w:rFonts w:cs="Times New Roman"/>
        <w:b w:val="0"/>
        <w:bCs w:val="0"/>
        <w:sz w:val="22"/>
      </w:rPr>
    </w:lvl>
    <w:lvl w:ilvl="8">
      <w:start w:val="1"/>
      <w:numFmt w:val="decimal"/>
      <w:lvlText w:val="%2.%3.%4.%5.%6.%7.%8.%9."/>
      <w:lvlJc w:val="left"/>
      <w:pPr>
        <w:tabs>
          <w:tab w:val="num" w:pos="0"/>
        </w:tabs>
        <w:ind w:left="3600" w:hanging="360"/>
      </w:pPr>
      <w:rPr>
        <w:rFonts w:cs="Times New Roman"/>
        <w:b w:val="0"/>
        <w:bCs w:val="0"/>
        <w:sz w:val="22"/>
      </w:r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080" w:hanging="360"/>
      </w:pPr>
      <w:rPr>
        <w:rFonts w:ascii="OpenSymbol" w:hAnsi="OpenSymbol" w:cs="OpenSymbol"/>
        <w:sz w:val="22"/>
      </w:rPr>
    </w:lvl>
    <w:lvl w:ilvl="2">
      <w:start w:val="1"/>
      <w:numFmt w:val="bullet"/>
      <w:lvlText w:val="▪"/>
      <w:lvlJc w:val="left"/>
      <w:pPr>
        <w:tabs>
          <w:tab w:val="num" w:pos="0"/>
        </w:tabs>
        <w:ind w:left="1440" w:hanging="360"/>
      </w:pPr>
      <w:rPr>
        <w:rFonts w:ascii="OpenSymbol" w:hAnsi="OpenSymbol" w:cs="OpenSymbol"/>
        <w:sz w:val="22"/>
      </w:rPr>
    </w:lvl>
    <w:lvl w:ilvl="3">
      <w:start w:val="1"/>
      <w:numFmt w:val="bullet"/>
      <w:lvlText w:val=""/>
      <w:lvlJc w:val="left"/>
      <w:pPr>
        <w:tabs>
          <w:tab w:val="num" w:pos="0"/>
        </w:tabs>
        <w:ind w:left="1800" w:hanging="360"/>
      </w:pPr>
      <w:rPr>
        <w:rFonts w:ascii="Symbol" w:hAnsi="Symbol" w:cs="Symbol"/>
        <w:sz w:val="22"/>
      </w:rPr>
    </w:lvl>
    <w:lvl w:ilvl="4">
      <w:start w:val="1"/>
      <w:numFmt w:val="bullet"/>
      <w:lvlText w:val="◦"/>
      <w:lvlJc w:val="left"/>
      <w:pPr>
        <w:tabs>
          <w:tab w:val="num" w:pos="0"/>
        </w:tabs>
        <w:ind w:left="2160" w:hanging="360"/>
      </w:pPr>
      <w:rPr>
        <w:rFonts w:ascii="OpenSymbol" w:hAnsi="OpenSymbol" w:cs="OpenSymbol"/>
        <w:sz w:val="22"/>
      </w:rPr>
    </w:lvl>
    <w:lvl w:ilvl="5">
      <w:start w:val="1"/>
      <w:numFmt w:val="bullet"/>
      <w:lvlText w:val="▪"/>
      <w:lvlJc w:val="left"/>
      <w:pPr>
        <w:tabs>
          <w:tab w:val="num" w:pos="0"/>
        </w:tabs>
        <w:ind w:left="2520" w:hanging="360"/>
      </w:pPr>
      <w:rPr>
        <w:rFonts w:ascii="OpenSymbol" w:hAnsi="OpenSymbol" w:cs="OpenSymbol"/>
        <w:sz w:val="22"/>
      </w:rPr>
    </w:lvl>
    <w:lvl w:ilvl="6">
      <w:start w:val="1"/>
      <w:numFmt w:val="bullet"/>
      <w:lvlText w:val=""/>
      <w:lvlJc w:val="left"/>
      <w:pPr>
        <w:tabs>
          <w:tab w:val="num" w:pos="0"/>
        </w:tabs>
        <w:ind w:left="2880" w:hanging="360"/>
      </w:pPr>
      <w:rPr>
        <w:rFonts w:ascii="Symbol" w:hAnsi="Symbol" w:cs="Symbol"/>
        <w:sz w:val="22"/>
      </w:rPr>
    </w:lvl>
    <w:lvl w:ilvl="7">
      <w:start w:val="1"/>
      <w:numFmt w:val="bullet"/>
      <w:lvlText w:val="◦"/>
      <w:lvlJc w:val="left"/>
      <w:pPr>
        <w:tabs>
          <w:tab w:val="num" w:pos="0"/>
        </w:tabs>
        <w:ind w:left="3240" w:hanging="360"/>
      </w:pPr>
      <w:rPr>
        <w:rFonts w:ascii="OpenSymbol" w:hAnsi="OpenSymbol" w:cs="OpenSymbol"/>
        <w:sz w:val="22"/>
      </w:rPr>
    </w:lvl>
    <w:lvl w:ilvl="8">
      <w:start w:val="1"/>
      <w:numFmt w:val="bullet"/>
      <w:lvlText w:val="▪"/>
      <w:lvlJc w:val="left"/>
      <w:pPr>
        <w:tabs>
          <w:tab w:val="num" w:pos="0"/>
        </w:tabs>
        <w:ind w:left="3600" w:hanging="360"/>
      </w:pPr>
      <w:rPr>
        <w:rFonts w:ascii="OpenSymbol" w:hAnsi="OpenSymbol" w:cs="OpenSymbol"/>
        <w:sz w:val="22"/>
      </w:rPr>
    </w:lvl>
  </w:abstractNum>
  <w:abstractNum w:abstractNumId="2" w15:restartNumberingAfterBreak="0">
    <w:nsid w:val="00000003"/>
    <w:multiLevelType w:val="multilevel"/>
    <w:tmpl w:val="00000003"/>
    <w:name w:val="WW8Num5"/>
    <w:lvl w:ilvl="0">
      <w:start w:val="1"/>
      <w:numFmt w:val="bullet"/>
      <w:lvlText w:val="-"/>
      <w:lvlJc w:val="left"/>
      <w:pPr>
        <w:tabs>
          <w:tab w:val="num" w:pos="0"/>
        </w:tabs>
        <w:ind w:left="720" w:hanging="360"/>
      </w:pPr>
      <w:rPr>
        <w:rFonts w:ascii="Cambria" w:hAnsi="Cambria" w:cs="Cambria"/>
        <w:sz w:val="22"/>
      </w:rPr>
    </w:lvl>
    <w:lvl w:ilvl="1">
      <w:start w:val="1"/>
      <w:numFmt w:val="decimal"/>
      <w:lvlText w:val="%2."/>
      <w:lvlJc w:val="left"/>
      <w:pPr>
        <w:tabs>
          <w:tab w:val="num" w:pos="0"/>
        </w:tabs>
        <w:ind w:left="1080" w:hanging="360"/>
      </w:pPr>
      <w:rPr>
        <w:rFonts w:cs="Times New Roman"/>
        <w:b w:val="0"/>
        <w:bCs w:val="0"/>
        <w:sz w:val="22"/>
      </w:rPr>
    </w:lvl>
    <w:lvl w:ilvl="2">
      <w:start w:val="1"/>
      <w:numFmt w:val="decimal"/>
      <w:lvlText w:val="%2.%3."/>
      <w:lvlJc w:val="left"/>
      <w:pPr>
        <w:tabs>
          <w:tab w:val="num" w:pos="0"/>
        </w:tabs>
        <w:ind w:left="1440" w:hanging="360"/>
      </w:pPr>
      <w:rPr>
        <w:rFonts w:cs="Times New Roman"/>
        <w:b w:val="0"/>
        <w:bCs w:val="0"/>
        <w:sz w:val="22"/>
      </w:rPr>
    </w:lvl>
    <w:lvl w:ilvl="3">
      <w:start w:val="1"/>
      <w:numFmt w:val="decimal"/>
      <w:lvlText w:val="%2.%3.%4."/>
      <w:lvlJc w:val="left"/>
      <w:pPr>
        <w:tabs>
          <w:tab w:val="num" w:pos="0"/>
        </w:tabs>
        <w:ind w:left="1800" w:hanging="360"/>
      </w:pPr>
      <w:rPr>
        <w:rFonts w:cs="Times New Roman"/>
        <w:b w:val="0"/>
        <w:bCs w:val="0"/>
        <w:sz w:val="22"/>
      </w:rPr>
    </w:lvl>
    <w:lvl w:ilvl="4">
      <w:start w:val="1"/>
      <w:numFmt w:val="decimal"/>
      <w:lvlText w:val="%2.%3.%4.%5."/>
      <w:lvlJc w:val="left"/>
      <w:pPr>
        <w:tabs>
          <w:tab w:val="num" w:pos="0"/>
        </w:tabs>
        <w:ind w:left="2160" w:hanging="360"/>
      </w:pPr>
      <w:rPr>
        <w:rFonts w:cs="Times New Roman"/>
        <w:b w:val="0"/>
        <w:bCs w:val="0"/>
        <w:sz w:val="22"/>
      </w:rPr>
    </w:lvl>
    <w:lvl w:ilvl="5">
      <w:start w:val="1"/>
      <w:numFmt w:val="decimal"/>
      <w:lvlText w:val="%2.%3.%4.%5.%6."/>
      <w:lvlJc w:val="left"/>
      <w:pPr>
        <w:tabs>
          <w:tab w:val="num" w:pos="0"/>
        </w:tabs>
        <w:ind w:left="2520" w:hanging="360"/>
      </w:pPr>
      <w:rPr>
        <w:rFonts w:cs="Times New Roman"/>
        <w:b w:val="0"/>
        <w:bCs w:val="0"/>
        <w:sz w:val="22"/>
      </w:rPr>
    </w:lvl>
    <w:lvl w:ilvl="6">
      <w:start w:val="1"/>
      <w:numFmt w:val="decimal"/>
      <w:lvlText w:val="%2.%3.%4.%5.%6.%7."/>
      <w:lvlJc w:val="left"/>
      <w:pPr>
        <w:tabs>
          <w:tab w:val="num" w:pos="0"/>
        </w:tabs>
        <w:ind w:left="2880" w:hanging="360"/>
      </w:pPr>
      <w:rPr>
        <w:rFonts w:cs="Times New Roman"/>
        <w:b w:val="0"/>
        <w:bCs w:val="0"/>
        <w:sz w:val="22"/>
      </w:rPr>
    </w:lvl>
    <w:lvl w:ilvl="7">
      <w:start w:val="1"/>
      <w:numFmt w:val="decimal"/>
      <w:lvlText w:val="%2.%3.%4.%5.%6.%7.%8."/>
      <w:lvlJc w:val="left"/>
      <w:pPr>
        <w:tabs>
          <w:tab w:val="num" w:pos="0"/>
        </w:tabs>
        <w:ind w:left="3240" w:hanging="360"/>
      </w:pPr>
      <w:rPr>
        <w:rFonts w:cs="Times New Roman"/>
        <w:b w:val="0"/>
        <w:bCs w:val="0"/>
        <w:sz w:val="22"/>
      </w:rPr>
    </w:lvl>
    <w:lvl w:ilvl="8">
      <w:start w:val="1"/>
      <w:numFmt w:val="decimal"/>
      <w:lvlText w:val="%2.%3.%4.%5.%6.%7.%8.%9."/>
      <w:lvlJc w:val="left"/>
      <w:pPr>
        <w:tabs>
          <w:tab w:val="num" w:pos="0"/>
        </w:tabs>
        <w:ind w:left="3600" w:hanging="360"/>
      </w:pPr>
      <w:rPr>
        <w:rFonts w:cs="Times New Roman"/>
        <w:b w:val="0"/>
        <w:bCs w:val="0"/>
        <w:sz w:val="22"/>
      </w:rPr>
    </w:lvl>
  </w:abstractNum>
  <w:abstractNum w:abstractNumId="3" w15:restartNumberingAfterBreak="0">
    <w:nsid w:val="00000004"/>
    <w:multiLevelType w:val="multilevel"/>
    <w:tmpl w:val="00000004"/>
    <w:name w:val="WW8Num9"/>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080" w:hanging="360"/>
      </w:pPr>
      <w:rPr>
        <w:rFonts w:ascii="OpenSymbol" w:hAnsi="OpenSymbol" w:cs="OpenSymbol"/>
        <w:sz w:val="22"/>
      </w:rPr>
    </w:lvl>
    <w:lvl w:ilvl="2">
      <w:start w:val="1"/>
      <w:numFmt w:val="bullet"/>
      <w:lvlText w:val="▪"/>
      <w:lvlJc w:val="left"/>
      <w:pPr>
        <w:tabs>
          <w:tab w:val="num" w:pos="0"/>
        </w:tabs>
        <w:ind w:left="1440" w:hanging="360"/>
      </w:pPr>
      <w:rPr>
        <w:rFonts w:ascii="OpenSymbol" w:hAnsi="OpenSymbol" w:cs="OpenSymbol"/>
        <w:sz w:val="22"/>
      </w:rPr>
    </w:lvl>
    <w:lvl w:ilvl="3">
      <w:start w:val="1"/>
      <w:numFmt w:val="bullet"/>
      <w:lvlText w:val=""/>
      <w:lvlJc w:val="left"/>
      <w:pPr>
        <w:tabs>
          <w:tab w:val="num" w:pos="0"/>
        </w:tabs>
        <w:ind w:left="1800" w:hanging="360"/>
      </w:pPr>
      <w:rPr>
        <w:rFonts w:ascii="Symbol" w:hAnsi="Symbol" w:cs="Symbol"/>
        <w:sz w:val="22"/>
      </w:rPr>
    </w:lvl>
    <w:lvl w:ilvl="4">
      <w:start w:val="1"/>
      <w:numFmt w:val="bullet"/>
      <w:lvlText w:val="◦"/>
      <w:lvlJc w:val="left"/>
      <w:pPr>
        <w:tabs>
          <w:tab w:val="num" w:pos="0"/>
        </w:tabs>
        <w:ind w:left="2160" w:hanging="360"/>
      </w:pPr>
      <w:rPr>
        <w:rFonts w:ascii="OpenSymbol" w:hAnsi="OpenSymbol" w:cs="OpenSymbol"/>
        <w:sz w:val="22"/>
      </w:rPr>
    </w:lvl>
    <w:lvl w:ilvl="5">
      <w:start w:val="1"/>
      <w:numFmt w:val="bullet"/>
      <w:lvlText w:val="▪"/>
      <w:lvlJc w:val="left"/>
      <w:pPr>
        <w:tabs>
          <w:tab w:val="num" w:pos="0"/>
        </w:tabs>
        <w:ind w:left="2520" w:hanging="360"/>
      </w:pPr>
      <w:rPr>
        <w:rFonts w:ascii="OpenSymbol" w:hAnsi="OpenSymbol" w:cs="OpenSymbol"/>
        <w:sz w:val="22"/>
      </w:rPr>
    </w:lvl>
    <w:lvl w:ilvl="6">
      <w:start w:val="1"/>
      <w:numFmt w:val="bullet"/>
      <w:lvlText w:val=""/>
      <w:lvlJc w:val="left"/>
      <w:pPr>
        <w:tabs>
          <w:tab w:val="num" w:pos="0"/>
        </w:tabs>
        <w:ind w:left="2880" w:hanging="360"/>
      </w:pPr>
      <w:rPr>
        <w:rFonts w:ascii="Symbol" w:hAnsi="Symbol" w:cs="Symbol"/>
        <w:sz w:val="22"/>
      </w:rPr>
    </w:lvl>
    <w:lvl w:ilvl="7">
      <w:start w:val="1"/>
      <w:numFmt w:val="bullet"/>
      <w:lvlText w:val="◦"/>
      <w:lvlJc w:val="left"/>
      <w:pPr>
        <w:tabs>
          <w:tab w:val="num" w:pos="0"/>
        </w:tabs>
        <w:ind w:left="3240" w:hanging="360"/>
      </w:pPr>
      <w:rPr>
        <w:rFonts w:ascii="OpenSymbol" w:hAnsi="OpenSymbol" w:cs="OpenSymbol"/>
        <w:sz w:val="22"/>
      </w:rPr>
    </w:lvl>
    <w:lvl w:ilvl="8">
      <w:start w:val="1"/>
      <w:numFmt w:val="bullet"/>
      <w:lvlText w:val="▪"/>
      <w:lvlJc w:val="left"/>
      <w:pPr>
        <w:tabs>
          <w:tab w:val="num" w:pos="0"/>
        </w:tabs>
        <w:ind w:left="3600" w:hanging="360"/>
      </w:pPr>
      <w:rPr>
        <w:rFonts w:ascii="OpenSymbol" w:hAnsi="OpenSymbol" w:cs="OpenSymbol"/>
        <w:sz w:val="22"/>
      </w:rPr>
    </w:lvl>
  </w:abstractNum>
  <w:abstractNum w:abstractNumId="4" w15:restartNumberingAfterBreak="0">
    <w:nsid w:val="00000005"/>
    <w:multiLevelType w:val="multilevel"/>
    <w:tmpl w:val="00000005"/>
    <w:name w:val="WW8Num10"/>
    <w:lvl w:ilvl="0">
      <w:start w:val="1"/>
      <w:numFmt w:val="lowerLetter"/>
      <w:lvlText w:val="%1)"/>
      <w:lvlJc w:val="left"/>
      <w:pPr>
        <w:tabs>
          <w:tab w:val="num" w:pos="0"/>
        </w:tabs>
        <w:ind w:left="720" w:hanging="360"/>
      </w:pPr>
      <w:rPr>
        <w:rFonts w:cs="Times New Roman"/>
        <w:b w:val="0"/>
        <w:bCs w:val="0"/>
        <w:sz w:val="22"/>
      </w:rPr>
    </w:lvl>
    <w:lvl w:ilvl="1">
      <w:start w:val="1"/>
      <w:numFmt w:val="lowerLetter"/>
      <w:lvlText w:val="%2)"/>
      <w:lvlJc w:val="left"/>
      <w:pPr>
        <w:tabs>
          <w:tab w:val="num" w:pos="0"/>
        </w:tabs>
        <w:ind w:left="1080" w:hanging="360"/>
      </w:pPr>
      <w:rPr>
        <w:rFonts w:cs="Times New Roman"/>
        <w:b w:val="0"/>
        <w:bCs w:val="0"/>
        <w:sz w:val="22"/>
      </w:rPr>
    </w:lvl>
    <w:lvl w:ilvl="2">
      <w:start w:val="1"/>
      <w:numFmt w:val="lowerLetter"/>
      <w:lvlText w:val="%2.%3)"/>
      <w:lvlJc w:val="left"/>
      <w:pPr>
        <w:tabs>
          <w:tab w:val="num" w:pos="0"/>
        </w:tabs>
        <w:ind w:left="1440" w:hanging="360"/>
      </w:pPr>
      <w:rPr>
        <w:rFonts w:cs="Times New Roman"/>
        <w:b w:val="0"/>
        <w:bCs w:val="0"/>
        <w:sz w:val="22"/>
      </w:rPr>
    </w:lvl>
    <w:lvl w:ilvl="3">
      <w:start w:val="1"/>
      <w:numFmt w:val="lowerLetter"/>
      <w:lvlText w:val="%2.%3.%4)"/>
      <w:lvlJc w:val="left"/>
      <w:pPr>
        <w:tabs>
          <w:tab w:val="num" w:pos="0"/>
        </w:tabs>
        <w:ind w:left="1800" w:hanging="360"/>
      </w:pPr>
      <w:rPr>
        <w:rFonts w:cs="Times New Roman"/>
        <w:b w:val="0"/>
        <w:bCs w:val="0"/>
        <w:sz w:val="22"/>
      </w:rPr>
    </w:lvl>
    <w:lvl w:ilvl="4">
      <w:start w:val="1"/>
      <w:numFmt w:val="lowerLetter"/>
      <w:lvlText w:val="%2.%3.%4.%5)"/>
      <w:lvlJc w:val="left"/>
      <w:pPr>
        <w:tabs>
          <w:tab w:val="num" w:pos="0"/>
        </w:tabs>
        <w:ind w:left="2160" w:hanging="360"/>
      </w:pPr>
      <w:rPr>
        <w:rFonts w:cs="Times New Roman"/>
        <w:b w:val="0"/>
        <w:bCs w:val="0"/>
        <w:sz w:val="22"/>
      </w:rPr>
    </w:lvl>
    <w:lvl w:ilvl="5">
      <w:start w:val="1"/>
      <w:numFmt w:val="lowerLetter"/>
      <w:lvlText w:val="%2.%3.%4.%5.%6)"/>
      <w:lvlJc w:val="left"/>
      <w:pPr>
        <w:tabs>
          <w:tab w:val="num" w:pos="0"/>
        </w:tabs>
        <w:ind w:left="2520" w:hanging="360"/>
      </w:pPr>
      <w:rPr>
        <w:rFonts w:cs="Times New Roman"/>
        <w:b w:val="0"/>
        <w:bCs w:val="0"/>
        <w:sz w:val="22"/>
      </w:rPr>
    </w:lvl>
    <w:lvl w:ilvl="6">
      <w:start w:val="1"/>
      <w:numFmt w:val="lowerLetter"/>
      <w:lvlText w:val="%2.%3.%4.%5.%6.%7)"/>
      <w:lvlJc w:val="left"/>
      <w:pPr>
        <w:tabs>
          <w:tab w:val="num" w:pos="0"/>
        </w:tabs>
        <w:ind w:left="2880" w:hanging="360"/>
      </w:pPr>
      <w:rPr>
        <w:rFonts w:cs="Times New Roman"/>
        <w:b w:val="0"/>
        <w:bCs w:val="0"/>
        <w:sz w:val="22"/>
      </w:rPr>
    </w:lvl>
    <w:lvl w:ilvl="7">
      <w:start w:val="1"/>
      <w:numFmt w:val="lowerLetter"/>
      <w:lvlText w:val="%2.%3.%4.%5.%6.%7.%8)"/>
      <w:lvlJc w:val="left"/>
      <w:pPr>
        <w:tabs>
          <w:tab w:val="num" w:pos="0"/>
        </w:tabs>
        <w:ind w:left="3240" w:hanging="360"/>
      </w:pPr>
      <w:rPr>
        <w:rFonts w:cs="Times New Roman"/>
        <w:b w:val="0"/>
        <w:bCs w:val="0"/>
        <w:sz w:val="22"/>
      </w:rPr>
    </w:lvl>
    <w:lvl w:ilvl="8">
      <w:start w:val="1"/>
      <w:numFmt w:val="lowerLetter"/>
      <w:lvlText w:val="%2.%3.%4.%5.%6.%7.%8.%9)"/>
      <w:lvlJc w:val="left"/>
      <w:pPr>
        <w:tabs>
          <w:tab w:val="num" w:pos="0"/>
        </w:tabs>
        <w:ind w:left="3600" w:hanging="360"/>
      </w:pPr>
      <w:rPr>
        <w:rFonts w:cs="Times New Roman"/>
        <w:b w:val="0"/>
        <w:bCs w:val="0"/>
        <w:sz w:val="22"/>
      </w:rPr>
    </w:lvl>
  </w:abstractNum>
  <w:abstractNum w:abstractNumId="5"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b w:val="0"/>
        <w:bCs w:val="0"/>
        <w:sz w:val="22"/>
      </w:rPr>
    </w:lvl>
    <w:lvl w:ilvl="1">
      <w:start w:val="1"/>
      <w:numFmt w:val="decimal"/>
      <w:lvlText w:val="%2."/>
      <w:lvlJc w:val="left"/>
      <w:pPr>
        <w:tabs>
          <w:tab w:val="num" w:pos="0"/>
        </w:tabs>
        <w:ind w:left="1080" w:hanging="360"/>
      </w:pPr>
      <w:rPr>
        <w:rFonts w:cs="Times New Roman"/>
        <w:b w:val="0"/>
        <w:bCs w:val="0"/>
        <w:sz w:val="22"/>
      </w:rPr>
    </w:lvl>
    <w:lvl w:ilvl="2">
      <w:start w:val="1"/>
      <w:numFmt w:val="decimal"/>
      <w:lvlText w:val="%2.%3."/>
      <w:lvlJc w:val="left"/>
      <w:pPr>
        <w:tabs>
          <w:tab w:val="num" w:pos="0"/>
        </w:tabs>
        <w:ind w:left="1440" w:hanging="360"/>
      </w:pPr>
      <w:rPr>
        <w:rFonts w:cs="Times New Roman"/>
        <w:b w:val="0"/>
        <w:bCs w:val="0"/>
        <w:sz w:val="22"/>
      </w:rPr>
    </w:lvl>
    <w:lvl w:ilvl="3">
      <w:start w:val="1"/>
      <w:numFmt w:val="decimal"/>
      <w:lvlText w:val="%2.%3.%4."/>
      <w:lvlJc w:val="left"/>
      <w:pPr>
        <w:tabs>
          <w:tab w:val="num" w:pos="0"/>
        </w:tabs>
        <w:ind w:left="1800" w:hanging="360"/>
      </w:pPr>
      <w:rPr>
        <w:rFonts w:cs="Times New Roman"/>
        <w:b w:val="0"/>
        <w:bCs w:val="0"/>
        <w:sz w:val="22"/>
      </w:rPr>
    </w:lvl>
    <w:lvl w:ilvl="4">
      <w:start w:val="1"/>
      <w:numFmt w:val="decimal"/>
      <w:lvlText w:val="%2.%3.%4.%5."/>
      <w:lvlJc w:val="left"/>
      <w:pPr>
        <w:tabs>
          <w:tab w:val="num" w:pos="0"/>
        </w:tabs>
        <w:ind w:left="2160" w:hanging="360"/>
      </w:pPr>
      <w:rPr>
        <w:rFonts w:cs="Times New Roman"/>
        <w:b w:val="0"/>
        <w:bCs w:val="0"/>
        <w:sz w:val="22"/>
      </w:rPr>
    </w:lvl>
    <w:lvl w:ilvl="5">
      <w:start w:val="1"/>
      <w:numFmt w:val="decimal"/>
      <w:lvlText w:val="%2.%3.%4.%5.%6."/>
      <w:lvlJc w:val="left"/>
      <w:pPr>
        <w:tabs>
          <w:tab w:val="num" w:pos="0"/>
        </w:tabs>
        <w:ind w:left="2520" w:hanging="360"/>
      </w:pPr>
      <w:rPr>
        <w:rFonts w:cs="Times New Roman"/>
        <w:b w:val="0"/>
        <w:bCs w:val="0"/>
        <w:sz w:val="22"/>
      </w:rPr>
    </w:lvl>
    <w:lvl w:ilvl="6">
      <w:start w:val="1"/>
      <w:numFmt w:val="decimal"/>
      <w:lvlText w:val="%2.%3.%4.%5.%6.%7."/>
      <w:lvlJc w:val="left"/>
      <w:pPr>
        <w:tabs>
          <w:tab w:val="num" w:pos="0"/>
        </w:tabs>
        <w:ind w:left="2880" w:hanging="360"/>
      </w:pPr>
      <w:rPr>
        <w:rFonts w:cs="Times New Roman"/>
        <w:b w:val="0"/>
        <w:bCs w:val="0"/>
        <w:sz w:val="22"/>
      </w:rPr>
    </w:lvl>
    <w:lvl w:ilvl="7">
      <w:start w:val="1"/>
      <w:numFmt w:val="decimal"/>
      <w:lvlText w:val="%2.%3.%4.%5.%6.%7.%8."/>
      <w:lvlJc w:val="left"/>
      <w:pPr>
        <w:tabs>
          <w:tab w:val="num" w:pos="0"/>
        </w:tabs>
        <w:ind w:left="3240" w:hanging="360"/>
      </w:pPr>
      <w:rPr>
        <w:rFonts w:cs="Times New Roman"/>
        <w:b w:val="0"/>
        <w:bCs w:val="0"/>
        <w:sz w:val="22"/>
      </w:rPr>
    </w:lvl>
    <w:lvl w:ilvl="8">
      <w:start w:val="1"/>
      <w:numFmt w:val="decimal"/>
      <w:lvlText w:val="%2.%3.%4.%5.%6.%7.%8.%9."/>
      <w:lvlJc w:val="left"/>
      <w:pPr>
        <w:tabs>
          <w:tab w:val="num" w:pos="0"/>
        </w:tabs>
        <w:ind w:left="3600" w:hanging="360"/>
      </w:pPr>
      <w:rPr>
        <w:rFonts w:cs="Times New Roman"/>
        <w:b w:val="0"/>
        <w:bCs w:val="0"/>
        <w:sz w:val="22"/>
      </w:rPr>
    </w:lvl>
  </w:abstractNum>
  <w:abstractNum w:abstractNumId="6" w15:restartNumberingAfterBreak="0">
    <w:nsid w:val="00000007"/>
    <w:multiLevelType w:val="multilevel"/>
    <w:tmpl w:val="00000007"/>
    <w:name w:val="WW8Num1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15:restartNumberingAfterBreak="0">
    <w:nsid w:val="00000009"/>
    <w:multiLevelType w:val="multilevel"/>
    <w:tmpl w:val="00000009"/>
    <w:name w:val="WW8Num1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15:restartNumberingAfterBreak="0">
    <w:nsid w:val="0000000A"/>
    <w:multiLevelType w:val="multilevel"/>
    <w:tmpl w:val="0000000A"/>
    <w:name w:val="WW8Num15"/>
    <w:lvl w:ilvl="0">
      <w:start w:val="1"/>
      <w:numFmt w:val="bullet"/>
      <w:lvlText w:val=""/>
      <w:lvlJc w:val="left"/>
      <w:pPr>
        <w:tabs>
          <w:tab w:val="num" w:pos="0"/>
        </w:tabs>
        <w:ind w:left="720" w:hanging="360"/>
      </w:pPr>
      <w:rPr>
        <w:rFonts w:ascii="Symbol" w:hAnsi="Symbol" w:cs="Symbol"/>
        <w:color w:val="00000A"/>
        <w:kern w:val="1"/>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color w:val="00000A"/>
        <w:kern w:val="1"/>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color w:val="00000A"/>
        <w:kern w:val="1"/>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0" w15:restartNumberingAfterBreak="0">
    <w:nsid w:val="0000000B"/>
    <w:multiLevelType w:val="multilevel"/>
    <w:tmpl w:val="0000000B"/>
    <w:name w:val="WW8Num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1" w15:restartNumberingAfterBreak="0">
    <w:nsid w:val="0000000C"/>
    <w:multiLevelType w:val="multilevel"/>
    <w:tmpl w:val="0000000C"/>
    <w:name w:val="WW8Num17"/>
    <w:lvl w:ilvl="0">
      <w:start w:val="1"/>
      <w:numFmt w:val="upperLetter"/>
      <w:lvlText w:val="%1)"/>
      <w:lvlJc w:val="left"/>
      <w:pPr>
        <w:tabs>
          <w:tab w:val="num" w:pos="0"/>
        </w:tabs>
        <w:ind w:left="720" w:hanging="360"/>
      </w:pPr>
    </w:lvl>
    <w:lvl w:ilvl="1">
      <w:start w:val="1"/>
      <w:numFmt w:val="upperLetter"/>
      <w:lvlText w:val="%2)"/>
      <w:lvlJc w:val="left"/>
      <w:pPr>
        <w:tabs>
          <w:tab w:val="num" w:pos="0"/>
        </w:tabs>
        <w:ind w:left="1080" w:hanging="360"/>
      </w:pPr>
    </w:lvl>
    <w:lvl w:ilvl="2">
      <w:start w:val="1"/>
      <w:numFmt w:val="upperLetter"/>
      <w:lvlText w:val="%2.%3)"/>
      <w:lvlJc w:val="left"/>
      <w:pPr>
        <w:tabs>
          <w:tab w:val="num" w:pos="0"/>
        </w:tabs>
        <w:ind w:left="1440" w:hanging="360"/>
      </w:pPr>
    </w:lvl>
    <w:lvl w:ilvl="3">
      <w:start w:val="1"/>
      <w:numFmt w:val="upperLetter"/>
      <w:lvlText w:val="%2.%3.%4)"/>
      <w:lvlJc w:val="left"/>
      <w:pPr>
        <w:tabs>
          <w:tab w:val="num" w:pos="0"/>
        </w:tabs>
        <w:ind w:left="1800" w:hanging="360"/>
      </w:pPr>
    </w:lvl>
    <w:lvl w:ilvl="4">
      <w:start w:val="1"/>
      <w:numFmt w:val="upperLetter"/>
      <w:lvlText w:val="%2.%3.%4.%5)"/>
      <w:lvlJc w:val="left"/>
      <w:pPr>
        <w:tabs>
          <w:tab w:val="num" w:pos="0"/>
        </w:tabs>
        <w:ind w:left="2160" w:hanging="360"/>
      </w:pPr>
    </w:lvl>
    <w:lvl w:ilvl="5">
      <w:start w:val="1"/>
      <w:numFmt w:val="upperLetter"/>
      <w:lvlText w:val="%2.%3.%4.%5.%6)"/>
      <w:lvlJc w:val="left"/>
      <w:pPr>
        <w:tabs>
          <w:tab w:val="num" w:pos="0"/>
        </w:tabs>
        <w:ind w:left="2520" w:hanging="360"/>
      </w:pPr>
    </w:lvl>
    <w:lvl w:ilvl="6">
      <w:start w:val="1"/>
      <w:numFmt w:val="upperLetter"/>
      <w:lvlText w:val="%2.%3.%4.%5.%6.%7)"/>
      <w:lvlJc w:val="left"/>
      <w:pPr>
        <w:tabs>
          <w:tab w:val="num" w:pos="0"/>
        </w:tabs>
        <w:ind w:left="2880" w:hanging="360"/>
      </w:pPr>
    </w:lvl>
    <w:lvl w:ilvl="7">
      <w:start w:val="1"/>
      <w:numFmt w:val="upperLetter"/>
      <w:lvlText w:val="%2.%3.%4.%5.%6.%7.%8)"/>
      <w:lvlJc w:val="left"/>
      <w:pPr>
        <w:tabs>
          <w:tab w:val="num" w:pos="0"/>
        </w:tabs>
        <w:ind w:left="3240" w:hanging="360"/>
      </w:pPr>
    </w:lvl>
    <w:lvl w:ilvl="8">
      <w:start w:val="1"/>
      <w:numFmt w:val="upperLetter"/>
      <w:lvlText w:val="%2.%3.%4.%5.%6.%7.%8.%9)"/>
      <w:lvlJc w:val="left"/>
      <w:pPr>
        <w:tabs>
          <w:tab w:val="num" w:pos="0"/>
        </w:tabs>
        <w:ind w:left="3600" w:hanging="360"/>
      </w:pPr>
    </w:lvl>
  </w:abstractNum>
  <w:abstractNum w:abstractNumId="12" w15:restartNumberingAfterBreak="0">
    <w:nsid w:val="0000000D"/>
    <w:multiLevelType w:val="multilevel"/>
    <w:tmpl w:val="0000000D"/>
    <w:name w:val="WW8Num1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3" w15:restartNumberingAfterBreak="0">
    <w:nsid w:val="0000000E"/>
    <w:multiLevelType w:val="multilevel"/>
    <w:tmpl w:val="0000000E"/>
    <w:name w:val="WW8Num19"/>
    <w:lvl w:ilvl="0">
      <w:start w:val="1"/>
      <w:numFmt w:val="decimal"/>
      <w:lvlText w:val="%1."/>
      <w:lvlJc w:val="left"/>
      <w:pPr>
        <w:tabs>
          <w:tab w:val="num" w:pos="0"/>
        </w:tabs>
        <w:ind w:left="720" w:hanging="360"/>
      </w:pPr>
      <w:rPr>
        <w:rFonts w:eastAsia="Calibri" w:cs="Calibri"/>
        <w:bCs/>
        <w:color w:val="00000A"/>
        <w:kern w:val="1"/>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0F"/>
    <w:multiLevelType w:val="multilevel"/>
    <w:tmpl w:val="0000000F"/>
    <w:name w:val="WW8Num20"/>
    <w:lvl w:ilvl="0">
      <w:start w:val="1"/>
      <w:numFmt w:val="bullet"/>
      <w:lvlText w:val=""/>
      <w:lvlJc w:val="left"/>
      <w:pPr>
        <w:tabs>
          <w:tab w:val="num" w:pos="0"/>
        </w:tabs>
        <w:ind w:left="720" w:hanging="360"/>
      </w:pPr>
      <w:rPr>
        <w:rFonts w:ascii="Symbo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5" w15:restartNumberingAfterBreak="0">
    <w:nsid w:val="00000010"/>
    <w:multiLevelType w:val="multilevel"/>
    <w:tmpl w:val="00000010"/>
    <w:name w:val="WW8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6" w15:restartNumberingAfterBreak="0">
    <w:nsid w:val="00000011"/>
    <w:multiLevelType w:val="multilevel"/>
    <w:tmpl w:val="00000011"/>
    <w:name w:val="WW8Num2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7" w15:restartNumberingAfterBreak="0">
    <w:nsid w:val="00000012"/>
    <w:multiLevelType w:val="multilevel"/>
    <w:tmpl w:val="00000012"/>
    <w:name w:val="WW8Num2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8" w15:restartNumberingAfterBreak="0">
    <w:nsid w:val="00000013"/>
    <w:multiLevelType w:val="multilevel"/>
    <w:tmpl w:val="00000013"/>
    <w:name w:val="WW8Num2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9" w15:restartNumberingAfterBreak="0">
    <w:nsid w:val="00000014"/>
    <w:multiLevelType w:val="multilevel"/>
    <w:tmpl w:val="00000014"/>
    <w:name w:val="WW8Num25"/>
    <w:lvl w:ilvl="0">
      <w:start w:val="1"/>
      <w:numFmt w:val="upperLetter"/>
      <w:lvlText w:val="%1)"/>
      <w:lvlJc w:val="left"/>
      <w:pPr>
        <w:tabs>
          <w:tab w:val="num" w:pos="0"/>
        </w:tabs>
        <w:ind w:left="720" w:hanging="360"/>
      </w:pPr>
    </w:lvl>
    <w:lvl w:ilvl="1">
      <w:start w:val="1"/>
      <w:numFmt w:val="upperLetter"/>
      <w:lvlText w:val="%2)"/>
      <w:lvlJc w:val="left"/>
      <w:pPr>
        <w:tabs>
          <w:tab w:val="num" w:pos="0"/>
        </w:tabs>
        <w:ind w:left="1080" w:hanging="360"/>
      </w:pPr>
    </w:lvl>
    <w:lvl w:ilvl="2">
      <w:start w:val="1"/>
      <w:numFmt w:val="upperLetter"/>
      <w:lvlText w:val="%2.%3)"/>
      <w:lvlJc w:val="left"/>
      <w:pPr>
        <w:tabs>
          <w:tab w:val="num" w:pos="0"/>
        </w:tabs>
        <w:ind w:left="1440" w:hanging="360"/>
      </w:pPr>
    </w:lvl>
    <w:lvl w:ilvl="3">
      <w:start w:val="1"/>
      <w:numFmt w:val="upperLetter"/>
      <w:lvlText w:val="%2.%3.%4)"/>
      <w:lvlJc w:val="left"/>
      <w:pPr>
        <w:tabs>
          <w:tab w:val="num" w:pos="0"/>
        </w:tabs>
        <w:ind w:left="1800" w:hanging="360"/>
      </w:pPr>
    </w:lvl>
    <w:lvl w:ilvl="4">
      <w:start w:val="1"/>
      <w:numFmt w:val="upperLetter"/>
      <w:lvlText w:val="%2.%3.%4.%5)"/>
      <w:lvlJc w:val="left"/>
      <w:pPr>
        <w:tabs>
          <w:tab w:val="num" w:pos="0"/>
        </w:tabs>
        <w:ind w:left="2160" w:hanging="360"/>
      </w:pPr>
    </w:lvl>
    <w:lvl w:ilvl="5">
      <w:start w:val="1"/>
      <w:numFmt w:val="upperLetter"/>
      <w:lvlText w:val="%2.%3.%4.%5.%6)"/>
      <w:lvlJc w:val="left"/>
      <w:pPr>
        <w:tabs>
          <w:tab w:val="num" w:pos="0"/>
        </w:tabs>
        <w:ind w:left="2520" w:hanging="360"/>
      </w:pPr>
    </w:lvl>
    <w:lvl w:ilvl="6">
      <w:start w:val="1"/>
      <w:numFmt w:val="upperLetter"/>
      <w:lvlText w:val="%2.%3.%4.%5.%6.%7)"/>
      <w:lvlJc w:val="left"/>
      <w:pPr>
        <w:tabs>
          <w:tab w:val="num" w:pos="0"/>
        </w:tabs>
        <w:ind w:left="2880" w:hanging="360"/>
      </w:pPr>
    </w:lvl>
    <w:lvl w:ilvl="7">
      <w:start w:val="1"/>
      <w:numFmt w:val="upperLetter"/>
      <w:lvlText w:val="%2.%3.%4.%5.%6.%7.%8)"/>
      <w:lvlJc w:val="left"/>
      <w:pPr>
        <w:tabs>
          <w:tab w:val="num" w:pos="0"/>
        </w:tabs>
        <w:ind w:left="3240" w:hanging="360"/>
      </w:pPr>
    </w:lvl>
    <w:lvl w:ilvl="8">
      <w:start w:val="1"/>
      <w:numFmt w:val="upperLetter"/>
      <w:lvlText w:val="%2.%3.%4.%5.%6.%7.%8.%9)"/>
      <w:lvlJc w:val="left"/>
      <w:pPr>
        <w:tabs>
          <w:tab w:val="num" w:pos="0"/>
        </w:tabs>
        <w:ind w:left="3600" w:hanging="360"/>
      </w:pPr>
    </w:lvl>
  </w:abstractNum>
  <w:abstractNum w:abstractNumId="20" w15:restartNumberingAfterBreak="0">
    <w:nsid w:val="00000015"/>
    <w:multiLevelType w:val="multilevel"/>
    <w:tmpl w:val="00000015"/>
    <w:name w:val="WW8Num26"/>
    <w:lvl w:ilvl="0">
      <w:start w:val="2"/>
      <w:numFmt w:val="upperLetter"/>
      <w:lvlText w:val="%1)"/>
      <w:lvlJc w:val="left"/>
      <w:pPr>
        <w:tabs>
          <w:tab w:val="num" w:pos="0"/>
        </w:tabs>
        <w:ind w:left="720" w:hanging="360"/>
      </w:pPr>
      <w:rPr>
        <w:rFonts w:eastAsia="Calibri" w:cs="Calibri"/>
        <w:bCs/>
        <w:color w:val="00000A"/>
        <w:kern w:val="1"/>
      </w:rPr>
    </w:lvl>
    <w:lvl w:ilvl="1">
      <w:start w:val="1"/>
      <w:numFmt w:val="upperLetter"/>
      <w:lvlText w:val="%2)"/>
      <w:lvlJc w:val="left"/>
      <w:pPr>
        <w:tabs>
          <w:tab w:val="num" w:pos="0"/>
        </w:tabs>
        <w:ind w:left="1080" w:hanging="360"/>
      </w:pPr>
    </w:lvl>
    <w:lvl w:ilvl="2">
      <w:start w:val="1"/>
      <w:numFmt w:val="upperLetter"/>
      <w:lvlText w:val="%2.%3)"/>
      <w:lvlJc w:val="left"/>
      <w:pPr>
        <w:tabs>
          <w:tab w:val="num" w:pos="0"/>
        </w:tabs>
        <w:ind w:left="1440" w:hanging="360"/>
      </w:pPr>
    </w:lvl>
    <w:lvl w:ilvl="3">
      <w:start w:val="1"/>
      <w:numFmt w:val="upperLetter"/>
      <w:lvlText w:val="%2.%3.%4)"/>
      <w:lvlJc w:val="left"/>
      <w:pPr>
        <w:tabs>
          <w:tab w:val="num" w:pos="0"/>
        </w:tabs>
        <w:ind w:left="1800" w:hanging="360"/>
      </w:pPr>
    </w:lvl>
    <w:lvl w:ilvl="4">
      <w:start w:val="1"/>
      <w:numFmt w:val="upperLetter"/>
      <w:lvlText w:val="%2.%3.%4.%5)"/>
      <w:lvlJc w:val="left"/>
      <w:pPr>
        <w:tabs>
          <w:tab w:val="num" w:pos="0"/>
        </w:tabs>
        <w:ind w:left="2160" w:hanging="360"/>
      </w:pPr>
    </w:lvl>
    <w:lvl w:ilvl="5">
      <w:start w:val="1"/>
      <w:numFmt w:val="upperLetter"/>
      <w:lvlText w:val="%2.%3.%4.%5.%6)"/>
      <w:lvlJc w:val="left"/>
      <w:pPr>
        <w:tabs>
          <w:tab w:val="num" w:pos="0"/>
        </w:tabs>
        <w:ind w:left="2520" w:hanging="360"/>
      </w:pPr>
    </w:lvl>
    <w:lvl w:ilvl="6">
      <w:start w:val="1"/>
      <w:numFmt w:val="upperLetter"/>
      <w:lvlText w:val="%2.%3.%4.%5.%6.%7)"/>
      <w:lvlJc w:val="left"/>
      <w:pPr>
        <w:tabs>
          <w:tab w:val="num" w:pos="0"/>
        </w:tabs>
        <w:ind w:left="2880" w:hanging="360"/>
      </w:pPr>
    </w:lvl>
    <w:lvl w:ilvl="7">
      <w:start w:val="1"/>
      <w:numFmt w:val="upperLetter"/>
      <w:lvlText w:val="%2.%3.%4.%5.%6.%7.%8)"/>
      <w:lvlJc w:val="left"/>
      <w:pPr>
        <w:tabs>
          <w:tab w:val="num" w:pos="0"/>
        </w:tabs>
        <w:ind w:left="3240" w:hanging="360"/>
      </w:pPr>
    </w:lvl>
    <w:lvl w:ilvl="8">
      <w:start w:val="1"/>
      <w:numFmt w:val="upperLetter"/>
      <w:lvlText w:val="%2.%3.%4.%5.%6.%7.%8.%9)"/>
      <w:lvlJc w:val="left"/>
      <w:pPr>
        <w:tabs>
          <w:tab w:val="num" w:pos="0"/>
        </w:tabs>
        <w:ind w:left="3600" w:hanging="360"/>
      </w:pPr>
    </w:lvl>
  </w:abstractNum>
  <w:abstractNum w:abstractNumId="21" w15:restartNumberingAfterBreak="0">
    <w:nsid w:val="00000016"/>
    <w:multiLevelType w:val="multilevel"/>
    <w:tmpl w:val="2E86385E"/>
    <w:name w:val="WW8Num27"/>
    <w:lvl w:ilvl="0">
      <w:start w:val="1"/>
      <w:numFmt w:val="decimal"/>
      <w:lvlText w:val="%1."/>
      <w:lvlJc w:val="left"/>
      <w:pPr>
        <w:tabs>
          <w:tab w:val="num" w:pos="0"/>
        </w:tabs>
        <w:ind w:left="720" w:hanging="360"/>
      </w:pPr>
      <w:rPr>
        <w:rFonts w:eastAsia="Calibri" w:cs="Calibri"/>
        <w:b w:val="0"/>
        <w:bCs w:val="0"/>
        <w:color w:val="00000A"/>
        <w:kern w:val="1"/>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00000017"/>
    <w:multiLevelType w:val="multilevel"/>
    <w:tmpl w:val="00000017"/>
    <w:name w:val="WW8Num2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3" w15:restartNumberingAfterBreak="0">
    <w:nsid w:val="00000018"/>
    <w:multiLevelType w:val="multilevel"/>
    <w:tmpl w:val="00000018"/>
    <w:name w:val="WW8Num2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4" w15:restartNumberingAfterBreak="0">
    <w:nsid w:val="00000019"/>
    <w:multiLevelType w:val="multilevel"/>
    <w:tmpl w:val="00000019"/>
    <w:name w:val="WW8Num30"/>
    <w:lvl w:ilvl="0">
      <w:start w:val="1"/>
      <w:numFmt w:val="bullet"/>
      <w:lvlText w:val=""/>
      <w:lvlJc w:val="left"/>
      <w:pPr>
        <w:tabs>
          <w:tab w:val="num" w:pos="0"/>
        </w:tabs>
        <w:ind w:left="720" w:hanging="360"/>
      </w:pPr>
      <w:rPr>
        <w:rFonts w:ascii="Symbol" w:hAnsi="Symbol" w:cs="Symbol"/>
        <w:color w:val="00000A"/>
        <w:kern w:val="1"/>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color w:val="00000A"/>
        <w:kern w:val="1"/>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color w:val="00000A"/>
        <w:kern w:val="1"/>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5" w15:restartNumberingAfterBreak="0">
    <w:nsid w:val="0000001A"/>
    <w:multiLevelType w:val="multilevel"/>
    <w:tmpl w:val="000000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2.%3)"/>
      <w:lvlJc w:val="left"/>
      <w:pPr>
        <w:tabs>
          <w:tab w:val="num" w:pos="0"/>
        </w:tabs>
        <w:ind w:left="1440" w:hanging="360"/>
      </w:pPr>
    </w:lvl>
    <w:lvl w:ilvl="3">
      <w:start w:val="1"/>
      <w:numFmt w:val="lowerLetter"/>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Letter"/>
      <w:lvlText w:val="%2.%3.%4.%5.%6)"/>
      <w:lvlJc w:val="left"/>
      <w:pPr>
        <w:tabs>
          <w:tab w:val="num" w:pos="0"/>
        </w:tabs>
        <w:ind w:left="2520" w:hanging="360"/>
      </w:pPr>
    </w:lvl>
    <w:lvl w:ilvl="6">
      <w:start w:val="1"/>
      <w:numFmt w:val="lowerLetter"/>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Letter"/>
      <w:lvlText w:val="%2.%3.%4.%5.%6.%7.%8.%9)"/>
      <w:lvlJc w:val="left"/>
      <w:pPr>
        <w:tabs>
          <w:tab w:val="num" w:pos="0"/>
        </w:tabs>
        <w:ind w:left="3600" w:hanging="360"/>
      </w:pPr>
    </w:lvl>
  </w:abstractNum>
  <w:abstractNum w:abstractNumId="26" w15:restartNumberingAfterBreak="0">
    <w:nsid w:val="0000001B"/>
    <w:multiLevelType w:val="multilevel"/>
    <w:tmpl w:val="0000001B"/>
    <w:name w:val="WW8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2.%3)"/>
      <w:lvlJc w:val="left"/>
      <w:pPr>
        <w:tabs>
          <w:tab w:val="num" w:pos="0"/>
        </w:tabs>
        <w:ind w:left="1440" w:hanging="360"/>
      </w:pPr>
    </w:lvl>
    <w:lvl w:ilvl="3">
      <w:start w:val="1"/>
      <w:numFmt w:val="lowerLetter"/>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Letter"/>
      <w:lvlText w:val="%2.%3.%4.%5.%6)"/>
      <w:lvlJc w:val="left"/>
      <w:pPr>
        <w:tabs>
          <w:tab w:val="num" w:pos="0"/>
        </w:tabs>
        <w:ind w:left="2520" w:hanging="360"/>
      </w:pPr>
    </w:lvl>
    <w:lvl w:ilvl="6">
      <w:start w:val="1"/>
      <w:numFmt w:val="lowerLetter"/>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Letter"/>
      <w:lvlText w:val="%2.%3.%4.%5.%6.%7.%8.%9)"/>
      <w:lvlJc w:val="left"/>
      <w:pPr>
        <w:tabs>
          <w:tab w:val="num" w:pos="0"/>
        </w:tabs>
        <w:ind w:left="3600" w:hanging="360"/>
      </w:pPr>
    </w:lvl>
  </w:abstractNum>
  <w:abstractNum w:abstractNumId="27" w15:restartNumberingAfterBreak="0">
    <w:nsid w:val="0000001C"/>
    <w:multiLevelType w:val="multilevel"/>
    <w:tmpl w:val="0000001C"/>
    <w:name w:val="WW8Num33"/>
    <w:lvl w:ilvl="0">
      <w:start w:val="1"/>
      <w:numFmt w:val="decimal"/>
      <w:lvlText w:val="%1."/>
      <w:lvlJc w:val="left"/>
      <w:pPr>
        <w:tabs>
          <w:tab w:val="num" w:pos="0"/>
        </w:tabs>
        <w:ind w:left="643" w:hanging="360"/>
      </w:pPr>
      <w:rPr>
        <w:rFonts w:eastAsia="Calibri" w:cs="Calibri"/>
        <w:bCs/>
        <w:color w:val="00000A"/>
        <w:kern w:val="1"/>
      </w:rPr>
    </w:lvl>
    <w:lvl w:ilvl="1">
      <w:start w:val="1"/>
      <w:numFmt w:val="bullet"/>
      <w:lvlText w:val="◦"/>
      <w:lvlJc w:val="left"/>
      <w:pPr>
        <w:tabs>
          <w:tab w:val="num" w:pos="0"/>
        </w:tabs>
        <w:ind w:left="1003" w:hanging="360"/>
      </w:pPr>
      <w:rPr>
        <w:rFonts w:ascii="OpenSymbol" w:hAnsi="OpenSymbol" w:cs="OpenSymbol"/>
      </w:rPr>
    </w:lvl>
    <w:lvl w:ilvl="2">
      <w:start w:val="1"/>
      <w:numFmt w:val="bullet"/>
      <w:lvlText w:val="▪"/>
      <w:lvlJc w:val="left"/>
      <w:pPr>
        <w:tabs>
          <w:tab w:val="num" w:pos="0"/>
        </w:tabs>
        <w:ind w:left="1363" w:hanging="360"/>
      </w:pPr>
      <w:rPr>
        <w:rFonts w:ascii="OpenSymbol" w:hAnsi="OpenSymbol" w:cs="OpenSymbol"/>
      </w:rPr>
    </w:lvl>
    <w:lvl w:ilvl="3">
      <w:start w:val="1"/>
      <w:numFmt w:val="bullet"/>
      <w:lvlText w:val=""/>
      <w:lvlJc w:val="left"/>
      <w:pPr>
        <w:tabs>
          <w:tab w:val="num" w:pos="0"/>
        </w:tabs>
        <w:ind w:left="1723" w:hanging="360"/>
      </w:pPr>
      <w:rPr>
        <w:rFonts w:ascii="Symbol" w:hAnsi="Symbol" w:cs="Symbol"/>
      </w:rPr>
    </w:lvl>
    <w:lvl w:ilvl="4">
      <w:start w:val="1"/>
      <w:numFmt w:val="bullet"/>
      <w:lvlText w:val="◦"/>
      <w:lvlJc w:val="left"/>
      <w:pPr>
        <w:tabs>
          <w:tab w:val="num" w:pos="0"/>
        </w:tabs>
        <w:ind w:left="2083" w:hanging="360"/>
      </w:pPr>
      <w:rPr>
        <w:rFonts w:ascii="OpenSymbol" w:hAnsi="OpenSymbol" w:cs="OpenSymbol"/>
      </w:rPr>
    </w:lvl>
    <w:lvl w:ilvl="5">
      <w:start w:val="1"/>
      <w:numFmt w:val="bullet"/>
      <w:lvlText w:val="▪"/>
      <w:lvlJc w:val="left"/>
      <w:pPr>
        <w:tabs>
          <w:tab w:val="num" w:pos="0"/>
        </w:tabs>
        <w:ind w:left="2443" w:hanging="360"/>
      </w:pPr>
      <w:rPr>
        <w:rFonts w:ascii="OpenSymbol" w:hAnsi="OpenSymbol" w:cs="OpenSymbol"/>
      </w:rPr>
    </w:lvl>
    <w:lvl w:ilvl="6">
      <w:start w:val="1"/>
      <w:numFmt w:val="bullet"/>
      <w:lvlText w:val=""/>
      <w:lvlJc w:val="left"/>
      <w:pPr>
        <w:tabs>
          <w:tab w:val="num" w:pos="0"/>
        </w:tabs>
        <w:ind w:left="2803" w:hanging="360"/>
      </w:pPr>
      <w:rPr>
        <w:rFonts w:ascii="Symbol" w:hAnsi="Symbol" w:cs="Symbol"/>
      </w:rPr>
    </w:lvl>
    <w:lvl w:ilvl="7">
      <w:start w:val="1"/>
      <w:numFmt w:val="bullet"/>
      <w:lvlText w:val="◦"/>
      <w:lvlJc w:val="left"/>
      <w:pPr>
        <w:tabs>
          <w:tab w:val="num" w:pos="0"/>
        </w:tabs>
        <w:ind w:left="3163" w:hanging="360"/>
      </w:pPr>
      <w:rPr>
        <w:rFonts w:ascii="OpenSymbol" w:hAnsi="OpenSymbol" w:cs="OpenSymbol"/>
      </w:rPr>
    </w:lvl>
    <w:lvl w:ilvl="8">
      <w:start w:val="1"/>
      <w:numFmt w:val="bullet"/>
      <w:lvlText w:val="▪"/>
      <w:lvlJc w:val="left"/>
      <w:pPr>
        <w:tabs>
          <w:tab w:val="num" w:pos="0"/>
        </w:tabs>
        <w:ind w:left="3523" w:hanging="360"/>
      </w:pPr>
      <w:rPr>
        <w:rFonts w:ascii="OpenSymbol" w:hAnsi="OpenSymbol" w:cs="OpenSymbol"/>
      </w:rPr>
    </w:lvl>
  </w:abstractNum>
  <w:abstractNum w:abstractNumId="28" w15:restartNumberingAfterBreak="0">
    <w:nsid w:val="0000001D"/>
    <w:multiLevelType w:val="multilevel"/>
    <w:tmpl w:val="0000001D"/>
    <w:name w:val="WW8Num3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9" w15:restartNumberingAfterBreak="0">
    <w:nsid w:val="0000001E"/>
    <w:multiLevelType w:val="multilevel"/>
    <w:tmpl w:val="0000001E"/>
    <w:name w:val="WW8Num3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15:restartNumberingAfterBreak="0">
    <w:nsid w:val="0000001F"/>
    <w:multiLevelType w:val="multilevel"/>
    <w:tmpl w:val="0000001F"/>
    <w:name w:val="WW8Num36"/>
    <w:lvl w:ilvl="0">
      <w:start w:val="1"/>
      <w:numFmt w:val="decimal"/>
      <w:lvlText w:val="%1."/>
      <w:lvlJc w:val="left"/>
      <w:pPr>
        <w:tabs>
          <w:tab w:val="num" w:pos="0"/>
        </w:tabs>
        <w:ind w:left="360" w:hanging="360"/>
      </w:pPr>
      <w:rPr>
        <w:rFonts w:eastAsia="Calibri" w:cs="Calibri"/>
        <w:bCs/>
        <w:color w:val="00000A"/>
        <w:kern w:val="1"/>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2" w15:restartNumberingAfterBreak="0">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206A33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27"/>
    <w:rsid w:val="000847E5"/>
    <w:rsid w:val="00086533"/>
    <w:rsid w:val="000B04D7"/>
    <w:rsid w:val="000C104E"/>
    <w:rsid w:val="00103967"/>
    <w:rsid w:val="001161C5"/>
    <w:rsid w:val="00157E6A"/>
    <w:rsid w:val="00166B53"/>
    <w:rsid w:val="00197170"/>
    <w:rsid w:val="00230C4A"/>
    <w:rsid w:val="002A34D9"/>
    <w:rsid w:val="00364BA5"/>
    <w:rsid w:val="003950CF"/>
    <w:rsid w:val="00395E84"/>
    <w:rsid w:val="003A75F7"/>
    <w:rsid w:val="003B5069"/>
    <w:rsid w:val="003D6819"/>
    <w:rsid w:val="003F0B75"/>
    <w:rsid w:val="00423551"/>
    <w:rsid w:val="0042729A"/>
    <w:rsid w:val="004951E9"/>
    <w:rsid w:val="004A061D"/>
    <w:rsid w:val="004E3A72"/>
    <w:rsid w:val="00502FDC"/>
    <w:rsid w:val="005111E7"/>
    <w:rsid w:val="00513067"/>
    <w:rsid w:val="00523B5B"/>
    <w:rsid w:val="00543EA9"/>
    <w:rsid w:val="0057287A"/>
    <w:rsid w:val="005A4954"/>
    <w:rsid w:val="005D6923"/>
    <w:rsid w:val="005F2641"/>
    <w:rsid w:val="00602157"/>
    <w:rsid w:val="00614D70"/>
    <w:rsid w:val="006244C7"/>
    <w:rsid w:val="00661AFC"/>
    <w:rsid w:val="006627D2"/>
    <w:rsid w:val="006A7294"/>
    <w:rsid w:val="006D02C9"/>
    <w:rsid w:val="006E2555"/>
    <w:rsid w:val="006F3175"/>
    <w:rsid w:val="006F7A47"/>
    <w:rsid w:val="0070137E"/>
    <w:rsid w:val="00702945"/>
    <w:rsid w:val="008243EE"/>
    <w:rsid w:val="0083150C"/>
    <w:rsid w:val="008614C5"/>
    <w:rsid w:val="008E62ED"/>
    <w:rsid w:val="00971877"/>
    <w:rsid w:val="00987CBC"/>
    <w:rsid w:val="009C762A"/>
    <w:rsid w:val="009D12FD"/>
    <w:rsid w:val="00A10D09"/>
    <w:rsid w:val="00A2622B"/>
    <w:rsid w:val="00A43035"/>
    <w:rsid w:val="00A87B58"/>
    <w:rsid w:val="00AD5B27"/>
    <w:rsid w:val="00B1493B"/>
    <w:rsid w:val="00B3516E"/>
    <w:rsid w:val="00B402C7"/>
    <w:rsid w:val="00B62BF1"/>
    <w:rsid w:val="00BB12A2"/>
    <w:rsid w:val="00C379AF"/>
    <w:rsid w:val="00C51E3B"/>
    <w:rsid w:val="00CE3FC3"/>
    <w:rsid w:val="00CF2755"/>
    <w:rsid w:val="00D03B28"/>
    <w:rsid w:val="00D1024D"/>
    <w:rsid w:val="00D2729C"/>
    <w:rsid w:val="00D30824"/>
    <w:rsid w:val="00D4049E"/>
    <w:rsid w:val="00DF4907"/>
    <w:rsid w:val="00E07722"/>
    <w:rsid w:val="00E204B8"/>
    <w:rsid w:val="00E402FC"/>
    <w:rsid w:val="00E44B89"/>
    <w:rsid w:val="00E51453"/>
    <w:rsid w:val="00EC4CCF"/>
    <w:rsid w:val="00EF4824"/>
    <w:rsid w:val="00F1032B"/>
    <w:rsid w:val="00F500A2"/>
    <w:rsid w:val="00F51DD5"/>
    <w:rsid w:val="00F647B0"/>
    <w:rsid w:val="00FE4A45"/>
    <w:rsid w:val="00FE7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64DB979"/>
  <w15:chartTrackingRefBased/>
  <w15:docId w15:val="{389ED949-19F7-4BCC-A62A-D1F681FD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80" w:line="264" w:lineRule="auto"/>
    </w:pPr>
    <w:rPr>
      <w:rFonts w:ascii="Calibri" w:eastAsia="Calibri" w:hAnsi="Calibri" w:cs="Calibri"/>
      <w:color w:val="00000A"/>
      <w:kern w:val="1"/>
      <w:sz w:val="23"/>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mbria" w:hAnsi="Cambria" w:cs="Cambria"/>
      <w:sz w:val="22"/>
    </w:rPr>
  </w:style>
  <w:style w:type="character" w:customStyle="1" w:styleId="WW8Num1z1">
    <w:name w:val="WW8Num1z1"/>
    <w:rPr>
      <w:rFonts w:cs="Times New Roman"/>
      <w:b w:val="0"/>
      <w:bCs w:val="0"/>
      <w:sz w:val="22"/>
    </w:rPr>
  </w:style>
  <w:style w:type="character" w:customStyle="1" w:styleId="WW8Num2z0">
    <w:name w:val="WW8Num2z0"/>
    <w:rPr>
      <w:rFonts w:ascii="Symbol" w:eastAsia="Calibri" w:hAnsi="Symbol" w:cs="Symbol"/>
      <w:color w:val="00000A"/>
      <w:kern w:val="1"/>
      <w:sz w:val="22"/>
    </w:rPr>
  </w:style>
  <w:style w:type="character" w:customStyle="1" w:styleId="WW8Num2z1">
    <w:name w:val="WW8Num2z1"/>
    <w:rPr>
      <w:rFonts w:ascii="OpenSymbol" w:hAnsi="OpenSymbol" w:cs="OpenSymbol"/>
      <w:sz w:val="22"/>
    </w:rPr>
  </w:style>
  <w:style w:type="character" w:customStyle="1" w:styleId="WW8Num3z0">
    <w:name w:val="WW8Num3z0"/>
    <w:rPr>
      <w:rFonts w:ascii="Symbol" w:hAnsi="Symbol" w:cs="Symbol"/>
      <w:sz w:val="22"/>
    </w:rPr>
  </w:style>
  <w:style w:type="character" w:customStyle="1" w:styleId="WW8Num3z1">
    <w:name w:val="WW8Num3z1"/>
    <w:rPr>
      <w:rFonts w:ascii="OpenSymbol" w:hAnsi="OpenSymbol" w:cs="OpenSymbol"/>
      <w:sz w:val="22"/>
    </w:rPr>
  </w:style>
  <w:style w:type="character" w:customStyle="1" w:styleId="WW8Num4z0">
    <w:name w:val="WW8Num4z0"/>
    <w:rPr>
      <w:rFonts w:ascii="Symbol" w:hAnsi="Symbol" w:cs="Symbol"/>
      <w:sz w:val="22"/>
    </w:rPr>
  </w:style>
  <w:style w:type="character" w:customStyle="1" w:styleId="WW8Num4z1">
    <w:name w:val="WW8Num4z1"/>
    <w:rPr>
      <w:rFonts w:ascii="OpenSymbol" w:hAnsi="OpenSymbol" w:cs="OpenSymbol"/>
      <w:sz w:val="22"/>
    </w:rPr>
  </w:style>
  <w:style w:type="character" w:customStyle="1" w:styleId="WW8Num5z0">
    <w:name w:val="WW8Num5z0"/>
    <w:rPr>
      <w:rFonts w:ascii="Cambria" w:hAnsi="Cambria" w:cs="Cambria"/>
      <w:sz w:val="22"/>
    </w:rPr>
  </w:style>
  <w:style w:type="character" w:customStyle="1" w:styleId="WW8Num5z1">
    <w:name w:val="WW8Num5z1"/>
    <w:rPr>
      <w:rFonts w:cs="Times New Roman"/>
      <w:b w:val="0"/>
      <w:bCs w:val="0"/>
      <w:sz w:val="22"/>
    </w:rPr>
  </w:style>
  <w:style w:type="character" w:customStyle="1" w:styleId="WW8Num6z0">
    <w:name w:val="WW8Num6z0"/>
    <w:rPr>
      <w:rFonts w:ascii="Symbol" w:hAnsi="Symbol" w:cs="Symbol"/>
      <w:sz w:val="22"/>
    </w:rPr>
  </w:style>
  <w:style w:type="character" w:customStyle="1" w:styleId="WW8Num6z1">
    <w:name w:val="WW8Num6z1"/>
    <w:rPr>
      <w:rFonts w:ascii="OpenSymbol" w:hAnsi="OpenSymbol" w:cs="OpenSymbol"/>
      <w:sz w:val="22"/>
    </w:rPr>
  </w:style>
  <w:style w:type="character" w:customStyle="1" w:styleId="WW8Num7z0">
    <w:name w:val="WW8Num7z0"/>
    <w:rPr>
      <w:rFonts w:ascii="Symbol" w:hAnsi="Symbol" w:cs="Symbol"/>
      <w:sz w:val="22"/>
    </w:rPr>
  </w:style>
  <w:style w:type="character" w:customStyle="1" w:styleId="WW8Num7z1">
    <w:name w:val="WW8Num7z1"/>
    <w:rPr>
      <w:rFonts w:ascii="OpenSymbol" w:hAnsi="OpenSymbol" w:cs="OpenSymbol"/>
      <w:sz w:val="22"/>
    </w:rPr>
  </w:style>
  <w:style w:type="character" w:customStyle="1" w:styleId="WW8Num8z0">
    <w:name w:val="WW8Num8z0"/>
    <w:rPr>
      <w:rFonts w:ascii="Symbol" w:hAnsi="Symbol" w:cs="Symbol"/>
      <w:sz w:val="22"/>
    </w:rPr>
  </w:style>
  <w:style w:type="character" w:customStyle="1" w:styleId="WW8Num8z1">
    <w:name w:val="WW8Num8z1"/>
    <w:rPr>
      <w:rFonts w:ascii="OpenSymbol" w:hAnsi="OpenSymbol" w:cs="OpenSymbol"/>
      <w:sz w:val="22"/>
    </w:rPr>
  </w:style>
  <w:style w:type="character" w:customStyle="1" w:styleId="WW8Num9z0">
    <w:name w:val="WW8Num9z0"/>
    <w:rPr>
      <w:rFonts w:ascii="Symbol" w:hAnsi="Symbol" w:cs="Symbol"/>
      <w:sz w:val="22"/>
    </w:rPr>
  </w:style>
  <w:style w:type="character" w:customStyle="1" w:styleId="WW8Num9z1">
    <w:name w:val="WW8Num9z1"/>
    <w:rPr>
      <w:rFonts w:ascii="OpenSymbol" w:hAnsi="OpenSymbol" w:cs="OpenSymbol"/>
      <w:sz w:val="22"/>
    </w:rPr>
  </w:style>
  <w:style w:type="character" w:customStyle="1" w:styleId="WW8Num10z0">
    <w:name w:val="WW8Num10z0"/>
    <w:rPr>
      <w:rFonts w:cs="Times New Roman"/>
      <w:b w:val="0"/>
      <w:bCs w:val="0"/>
      <w:sz w:val="22"/>
    </w:rPr>
  </w:style>
  <w:style w:type="character" w:customStyle="1" w:styleId="WW8Num11z0">
    <w:name w:val="WW8Num11z0"/>
    <w:rPr>
      <w:rFonts w:cs="Times New Roman"/>
      <w:b w:val="0"/>
      <w:bCs w:val="0"/>
      <w:sz w:val="22"/>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OpenSymbol" w:hAnsi="OpenSymbol" w:cs="OpenSymbol"/>
    </w:rPr>
  </w:style>
  <w:style w:type="character" w:customStyle="1" w:styleId="WW8Num15z0">
    <w:name w:val="WW8Num15z0"/>
    <w:rPr>
      <w:rFonts w:ascii="Symbol" w:eastAsia="Calibri" w:hAnsi="Symbol" w:cs="Symbol"/>
      <w:color w:val="00000A"/>
      <w:kern w:val="1"/>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WW8Num19z0">
    <w:name w:val="WW8Num19z0"/>
    <w:rPr>
      <w:rFonts w:eastAsia="Calibri" w:cs="Calibri"/>
      <w:bCs/>
      <w:color w:val="00000A"/>
      <w:kern w:val="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Aria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Calibri" w:cs="Calibri"/>
      <w:bCs/>
      <w:color w:val="00000A"/>
      <w:kern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Calibri" w:cs="Calibri"/>
      <w:b/>
      <w:bCs/>
      <w:color w:val="00000A"/>
      <w:kern w:val="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Symbol"/>
    </w:rPr>
  </w:style>
  <w:style w:type="character" w:customStyle="1" w:styleId="WW8Num29z1">
    <w:name w:val="WW8Num29z1"/>
    <w:rPr>
      <w:rFonts w:ascii="OpenSymbol" w:hAnsi="OpenSymbol" w:cs="OpenSymbol"/>
    </w:rPr>
  </w:style>
  <w:style w:type="character" w:customStyle="1" w:styleId="WW8Num30z0">
    <w:name w:val="WW8Num30z0"/>
    <w:rPr>
      <w:rFonts w:ascii="Symbol" w:eastAsia="Calibri" w:hAnsi="Symbol" w:cs="Symbol"/>
      <w:color w:val="00000A"/>
      <w:kern w:val="1"/>
    </w:rPr>
  </w:style>
  <w:style w:type="character" w:customStyle="1" w:styleId="WW8Num30z1">
    <w:name w:val="WW8Num30z1"/>
    <w:rPr>
      <w:rFonts w:ascii="OpenSymbol" w:hAnsi="OpenSymbol" w:cs="Open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Calibri" w:cs="Calibri"/>
      <w:bCs/>
      <w:color w:val="00000A"/>
      <w:kern w:val="1"/>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rPr>
      <w:rFonts w:ascii="OpenSymbol" w:hAnsi="OpenSymbol" w:cs="OpenSymbol"/>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cs="Calibri"/>
      <w:bCs/>
      <w:color w:val="00000A"/>
      <w:kern w:val="1"/>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OpenSymbol" w:hAnsi="OpenSymbol" w:cs="Open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Carpredefinitoparagrafo1">
    <w:name w:val="Car. predefinito paragrafo1"/>
  </w:style>
  <w:style w:type="character" w:customStyle="1" w:styleId="Rimandonotaapidipagina1">
    <w:name w:val="Rimando nota a piè di pagina1"/>
    <w:basedOn w:val="Carpredefinitoparagrafo1"/>
    <w:rPr>
      <w:rFonts w:cs="Times New Roman"/>
      <w:vertAlign w:val="superscript"/>
    </w:rPr>
  </w:style>
  <w:style w:type="character" w:styleId="Enfasigrassetto">
    <w:name w:val="Strong"/>
    <w:basedOn w:val="Carpredefinitoparagrafo1"/>
    <w:qFormat/>
    <w:rPr>
      <w:b/>
      <w:bCs/>
    </w:rPr>
  </w:style>
  <w:style w:type="character" w:customStyle="1" w:styleId="ListLabel1">
    <w:name w:val="ListLabel 1"/>
    <w:rPr>
      <w:sz w:val="22"/>
    </w:rPr>
  </w:style>
  <w:style w:type="character" w:customStyle="1" w:styleId="ListLabel2">
    <w:name w:val="ListLabel 2"/>
    <w:rPr>
      <w:rFonts w:cs="Times New Roman"/>
      <w:b w:val="0"/>
      <w:bCs w:val="0"/>
      <w:sz w:val="22"/>
    </w:rPr>
  </w:style>
  <w:style w:type="character" w:customStyle="1" w:styleId="ListLabel3">
    <w:name w:val="ListLabel 3"/>
    <w:rPr>
      <w:rFonts w:eastAsia="Times New Roman"/>
    </w:rPr>
  </w:style>
  <w:style w:type="character" w:customStyle="1" w:styleId="Funotenzeichen">
    <w:name w:val="Fußnotenzeichen"/>
  </w:style>
  <w:style w:type="character" w:styleId="Rimandonotaapidipagina">
    <w:name w:val="footnote reference"/>
    <w:rPr>
      <w:vertAlign w:val="superscript"/>
    </w:rPr>
  </w:style>
  <w:style w:type="character" w:customStyle="1" w:styleId="Endnotenzeichen">
    <w:name w:val="Endnotenzeichen"/>
    <w:rPr>
      <w:vertAlign w:val="superscript"/>
    </w:rPr>
  </w:style>
  <w:style w:type="character" w:customStyle="1" w:styleId="WW-Endnotenzeichen">
    <w:name w:val="WW-Endnotenzeichen"/>
  </w:style>
  <w:style w:type="character" w:styleId="Rimandonotadichiusura">
    <w:name w:val="endnote reference"/>
    <w:rPr>
      <w:vertAlign w:val="superscript"/>
    </w:rPr>
  </w:style>
  <w:style w:type="paragraph" w:customStyle="1" w:styleId="berschrift">
    <w:name w:val="Überschrift"/>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ascii="Arial" w:hAnsi="Arial" w:cs="Mangal"/>
    </w:rPr>
  </w:style>
  <w:style w:type="paragraph" w:customStyle="1" w:styleId="Beschriftung">
    <w:name w:val="Beschriftung"/>
    <w:basedOn w:val="Normale"/>
    <w:pPr>
      <w:suppressLineNumbers/>
      <w:spacing w:before="120" w:after="120"/>
    </w:pPr>
    <w:rPr>
      <w:rFonts w:ascii="Arial" w:hAnsi="Arial" w:cs="Mangal"/>
      <w:i/>
      <w:iCs/>
      <w:sz w:val="24"/>
      <w:szCs w:val="24"/>
    </w:rPr>
  </w:style>
  <w:style w:type="paragraph" w:customStyle="1" w:styleId="Verzeichnis">
    <w:name w:val="Verzeichnis"/>
    <w:basedOn w:val="Normale"/>
    <w:pPr>
      <w:suppressLineNumbers/>
    </w:pPr>
    <w:rPr>
      <w:rFonts w:ascii="Arial" w:hAnsi="Arial" w:cs="Mangal"/>
    </w:rPr>
  </w:style>
  <w:style w:type="paragraph" w:styleId="Testonotaapidipagina">
    <w:name w:val="footnote text"/>
    <w:basedOn w:val="Normale"/>
    <w:pPr>
      <w:widowControl w:val="0"/>
      <w:suppressLineNumbers/>
      <w:spacing w:after="0" w:line="100" w:lineRule="atLeast"/>
      <w:ind w:left="283" w:hanging="283"/>
    </w:pPr>
    <w:rPr>
      <w:rFonts w:ascii="Cambria" w:eastAsia="SimSun" w:hAnsi="Cambria" w:cs="Mangal"/>
      <w:sz w:val="24"/>
      <w:szCs w:val="24"/>
      <w:lang w:eastAsia="hi-IN" w:bidi="hi-IN"/>
    </w:rPr>
  </w:style>
  <w:style w:type="paragraph" w:customStyle="1" w:styleId="Paragrafoelenco1">
    <w:name w:val="Paragrafo elenco1"/>
    <w:basedOn w:val="Normale"/>
    <w:pPr>
      <w:ind w:left="720"/>
    </w:pPr>
  </w:style>
  <w:style w:type="paragraph" w:customStyle="1" w:styleId="Default">
    <w:name w:val="Default"/>
    <w:basedOn w:val="Normale"/>
    <w:pPr>
      <w:autoSpaceDE w:val="0"/>
      <w:spacing w:after="160" w:line="254" w:lineRule="auto"/>
    </w:pPr>
    <w:rPr>
      <w:rFonts w:ascii="Garamond" w:eastAsia="Garamond" w:hAnsi="Garamond" w:cs="Garamond"/>
      <w:color w:val="000000"/>
      <w:sz w:val="24"/>
      <w:szCs w:val="24"/>
    </w:rPr>
  </w:style>
  <w:style w:type="paragraph" w:customStyle="1" w:styleId="TabellenInhalt">
    <w:name w:val="Tabellen Inhalt"/>
    <w:basedOn w:val="Normale"/>
    <w:pPr>
      <w:suppressLineNumbers/>
    </w:pPr>
  </w:style>
  <w:style w:type="paragraph" w:customStyle="1" w:styleId="Tabellenberschrift">
    <w:name w:val="Tabellen Überschrift"/>
    <w:basedOn w:val="TabellenInhalt"/>
    <w:pPr>
      <w:jc w:val="center"/>
    </w:pPr>
    <w:rPr>
      <w:b/>
      <w:bCs/>
    </w:rPr>
  </w:style>
  <w:style w:type="paragraph" w:styleId="Intestazione">
    <w:name w:val="header"/>
    <w:basedOn w:val="Normale"/>
    <w:link w:val="IntestazioneCarattere"/>
    <w:uiPriority w:val="99"/>
    <w:unhideWhenUsed/>
    <w:rsid w:val="009D12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2FD"/>
    <w:rPr>
      <w:rFonts w:ascii="Calibri" w:eastAsia="Calibri" w:hAnsi="Calibri" w:cs="Calibri"/>
      <w:color w:val="00000A"/>
      <w:kern w:val="1"/>
      <w:sz w:val="23"/>
      <w:lang w:eastAsia="ar-SA"/>
    </w:rPr>
  </w:style>
  <w:style w:type="paragraph" w:styleId="Pidipagina">
    <w:name w:val="footer"/>
    <w:basedOn w:val="Normale"/>
    <w:link w:val="PidipaginaCarattere"/>
    <w:uiPriority w:val="99"/>
    <w:unhideWhenUsed/>
    <w:rsid w:val="009D12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2FD"/>
    <w:rPr>
      <w:rFonts w:ascii="Calibri" w:eastAsia="Calibri" w:hAnsi="Calibri" w:cs="Calibri"/>
      <w:color w:val="00000A"/>
      <w:kern w:val="1"/>
      <w:sz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4238">
      <w:bodyDiv w:val="1"/>
      <w:marLeft w:val="0"/>
      <w:marRight w:val="0"/>
      <w:marTop w:val="0"/>
      <w:marBottom w:val="0"/>
      <w:divBdr>
        <w:top w:val="none" w:sz="0" w:space="0" w:color="auto"/>
        <w:left w:val="none" w:sz="0" w:space="0" w:color="auto"/>
        <w:bottom w:val="none" w:sz="0" w:space="0" w:color="auto"/>
        <w:right w:val="none" w:sz="0" w:space="0" w:color="auto"/>
      </w:divBdr>
    </w:div>
    <w:div w:id="485779088">
      <w:bodyDiv w:val="1"/>
      <w:marLeft w:val="0"/>
      <w:marRight w:val="0"/>
      <w:marTop w:val="0"/>
      <w:marBottom w:val="0"/>
      <w:divBdr>
        <w:top w:val="none" w:sz="0" w:space="0" w:color="auto"/>
        <w:left w:val="none" w:sz="0" w:space="0" w:color="auto"/>
        <w:bottom w:val="none" w:sz="0" w:space="0" w:color="auto"/>
        <w:right w:val="none" w:sz="0" w:space="0" w:color="auto"/>
      </w:divBdr>
    </w:div>
    <w:div w:id="656569381">
      <w:bodyDiv w:val="1"/>
      <w:marLeft w:val="0"/>
      <w:marRight w:val="0"/>
      <w:marTop w:val="0"/>
      <w:marBottom w:val="0"/>
      <w:divBdr>
        <w:top w:val="none" w:sz="0" w:space="0" w:color="auto"/>
        <w:left w:val="none" w:sz="0" w:space="0" w:color="auto"/>
        <w:bottom w:val="none" w:sz="0" w:space="0" w:color="auto"/>
        <w:right w:val="none" w:sz="0" w:space="0" w:color="auto"/>
      </w:divBdr>
    </w:div>
    <w:div w:id="900605308">
      <w:bodyDiv w:val="1"/>
      <w:marLeft w:val="0"/>
      <w:marRight w:val="0"/>
      <w:marTop w:val="0"/>
      <w:marBottom w:val="0"/>
      <w:divBdr>
        <w:top w:val="none" w:sz="0" w:space="0" w:color="auto"/>
        <w:left w:val="none" w:sz="0" w:space="0" w:color="auto"/>
        <w:bottom w:val="none" w:sz="0" w:space="0" w:color="auto"/>
        <w:right w:val="none" w:sz="0" w:space="0" w:color="auto"/>
      </w:divBdr>
    </w:div>
    <w:div w:id="911886292">
      <w:bodyDiv w:val="1"/>
      <w:marLeft w:val="0"/>
      <w:marRight w:val="0"/>
      <w:marTop w:val="0"/>
      <w:marBottom w:val="0"/>
      <w:divBdr>
        <w:top w:val="none" w:sz="0" w:space="0" w:color="auto"/>
        <w:left w:val="none" w:sz="0" w:space="0" w:color="auto"/>
        <w:bottom w:val="none" w:sz="0" w:space="0" w:color="auto"/>
        <w:right w:val="none" w:sz="0" w:space="0" w:color="auto"/>
      </w:divBdr>
    </w:div>
    <w:div w:id="923337061">
      <w:bodyDiv w:val="1"/>
      <w:marLeft w:val="0"/>
      <w:marRight w:val="0"/>
      <w:marTop w:val="0"/>
      <w:marBottom w:val="0"/>
      <w:divBdr>
        <w:top w:val="none" w:sz="0" w:space="0" w:color="auto"/>
        <w:left w:val="none" w:sz="0" w:space="0" w:color="auto"/>
        <w:bottom w:val="none" w:sz="0" w:space="0" w:color="auto"/>
        <w:right w:val="none" w:sz="0" w:space="0" w:color="auto"/>
      </w:divBdr>
    </w:div>
    <w:div w:id="1397630024">
      <w:bodyDiv w:val="1"/>
      <w:marLeft w:val="0"/>
      <w:marRight w:val="0"/>
      <w:marTop w:val="0"/>
      <w:marBottom w:val="0"/>
      <w:divBdr>
        <w:top w:val="none" w:sz="0" w:space="0" w:color="auto"/>
        <w:left w:val="none" w:sz="0" w:space="0" w:color="auto"/>
        <w:bottom w:val="none" w:sz="0" w:space="0" w:color="auto"/>
        <w:right w:val="none" w:sz="0" w:space="0" w:color="auto"/>
      </w:divBdr>
    </w:div>
    <w:div w:id="1720545601">
      <w:bodyDiv w:val="1"/>
      <w:marLeft w:val="0"/>
      <w:marRight w:val="0"/>
      <w:marTop w:val="0"/>
      <w:marBottom w:val="0"/>
      <w:divBdr>
        <w:top w:val="none" w:sz="0" w:space="0" w:color="auto"/>
        <w:left w:val="none" w:sz="0" w:space="0" w:color="auto"/>
        <w:bottom w:val="none" w:sz="0" w:space="0" w:color="auto"/>
        <w:right w:val="none" w:sz="0" w:space="0" w:color="auto"/>
      </w:divBdr>
    </w:div>
    <w:div w:id="2104061644">
      <w:bodyDiv w:val="1"/>
      <w:marLeft w:val="0"/>
      <w:marRight w:val="0"/>
      <w:marTop w:val="0"/>
      <w:marBottom w:val="0"/>
      <w:divBdr>
        <w:top w:val="none" w:sz="0" w:space="0" w:color="auto"/>
        <w:left w:val="none" w:sz="0" w:space="0" w:color="auto"/>
        <w:bottom w:val="none" w:sz="0" w:space="0" w:color="auto"/>
        <w:right w:val="none" w:sz="0" w:space="0" w:color="auto"/>
      </w:divBdr>
    </w:div>
    <w:div w:id="21147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0481-8B8C-4A3C-8D4C-102A78BA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31</Pages>
  <Words>14042</Words>
  <Characters>84394</Characters>
  <Application>Microsoft Office Word</Application>
  <DocSecurity>0</DocSecurity>
  <Lines>1172</Lines>
  <Paragraphs>449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Niederfriniger</dc:creator>
  <cp:keywords/>
  <cp:lastModifiedBy>Peter Niederfriniger</cp:lastModifiedBy>
  <cp:revision>71</cp:revision>
  <cp:lastPrinted>2021-02-26T15:57:00Z</cp:lastPrinted>
  <dcterms:created xsi:type="dcterms:W3CDTF">2021-02-16T18:03:00Z</dcterms:created>
  <dcterms:modified xsi:type="dcterms:W3CDTF">2021-03-03T07:57:00Z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